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1265"/>
        <w:tblW w:w="5763" w:type="pct"/>
        <w:tblBorders>
          <w:bottom w:val="single" w:sz="4" w:space="0" w:color="auto"/>
        </w:tblBorders>
        <w:tblCellMar>
          <w:left w:w="70" w:type="dxa"/>
          <w:right w:w="70" w:type="dxa"/>
        </w:tblCellMar>
        <w:tblLook w:val="04A0" w:firstRow="1" w:lastRow="0" w:firstColumn="1" w:lastColumn="0" w:noHBand="0" w:noVBand="1"/>
      </w:tblPr>
      <w:tblGrid>
        <w:gridCol w:w="10187"/>
      </w:tblGrid>
      <w:tr w:rsidR="00C879B1" w:rsidTr="00BD3767">
        <w:trPr>
          <w:trHeight w:val="12193"/>
        </w:trPr>
        <w:tc>
          <w:tcPr>
            <w:tcW w:w="5000" w:type="pct"/>
            <w:tcBorders>
              <w:bottom w:val="double" w:sz="4" w:space="0" w:color="auto"/>
            </w:tcBorders>
            <w:shd w:val="clear" w:color="auto" w:fill="auto"/>
          </w:tcPr>
          <w:p w:rsidR="00C879B1" w:rsidRDefault="00C879B1" w:rsidP="00BD3767">
            <w:pPr>
              <w:spacing w:line="276" w:lineRule="auto"/>
            </w:pPr>
            <w:r>
              <w:rPr>
                <w:noProof/>
                <w:lang w:eastAsia="es-MX"/>
              </w:rPr>
              <mc:AlternateContent>
                <mc:Choice Requires="wps">
                  <w:drawing>
                    <wp:anchor distT="0" distB="0" distL="114300" distR="114300" simplePos="0" relativeHeight="251660288" behindDoc="0" locked="0" layoutInCell="1" allowOverlap="1" wp14:anchorId="701DD280" wp14:editId="43217568">
                      <wp:simplePos x="0" y="0"/>
                      <wp:positionH relativeFrom="column">
                        <wp:posOffset>23648</wp:posOffset>
                      </wp:positionH>
                      <wp:positionV relativeFrom="paragraph">
                        <wp:posOffset>-30130</wp:posOffset>
                      </wp:positionV>
                      <wp:extent cx="6542690" cy="110359"/>
                      <wp:effectExtent l="57150" t="57150" r="48895" b="61595"/>
                      <wp:wrapNone/>
                      <wp:docPr id="1" name="Rectángulo 1"/>
                      <wp:cNvGraphicFramePr/>
                      <a:graphic xmlns:a="http://schemas.openxmlformats.org/drawingml/2006/main">
                        <a:graphicData uri="http://schemas.microsoft.com/office/word/2010/wordprocessingShape">
                          <wps:wsp>
                            <wps:cNvSpPr/>
                            <wps:spPr>
                              <a:xfrm>
                                <a:off x="0" y="0"/>
                                <a:ext cx="6542690" cy="110359"/>
                              </a:xfrm>
                              <a:prstGeom prst="rect">
                                <a:avLst/>
                              </a:prstGeom>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solidFill>
                                  <a:schemeClr val="accent5"/>
                                </a:solidFill>
                              </a:ln>
                              <a:effectLst/>
                              <a:scene3d>
                                <a:camera prst="orthographicFront"/>
                                <a:lightRig rig="threePt" dir="t"/>
                              </a:scene3d>
                              <a:sp3d>
                                <a:bevelT w="139700" prst="cross"/>
                              </a:sp3d>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4BFE33" id="Rectángulo 1" o:spid="_x0000_s1026" style="position:absolute;margin-left:1.85pt;margin-top:-2.35pt;width:515.15pt;height:8.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" fillcolor="#4a732f [2153]" strokecolor="#5b9bd5 [3208]">
                      <v:fill color2="#a8d08d [1945]" rotate="t" angle="180" colors="0 #4b7430;31457f #74b349;1 #a9d18e" focus="100%" type="gradient"/>
                    </v:rect>
                  </w:pict>
                </mc:Fallback>
              </mc:AlternateContent>
            </w:r>
          </w:p>
          <w:p w:rsidR="00C879B1" w:rsidRDefault="00C879B1" w:rsidP="00BD3767">
            <w:pPr>
              <w:spacing w:after="0" w:line="276" w:lineRule="auto"/>
              <w:jc w:val="center"/>
              <w:rPr>
                <w:rFonts w:ascii="Bookman Old Style" w:hAnsi="Bookman Old Style"/>
                <w:b/>
                <w:smallCaps/>
                <w:spacing w:val="20"/>
                <w:sz w:val="28"/>
                <w:szCs w:val="28"/>
              </w:rPr>
            </w:pPr>
            <w:r w:rsidRPr="00824353">
              <w:rPr>
                <w:rFonts w:ascii="Bookman Old Style" w:hAnsi="Bookman Old Style"/>
                <w:b/>
                <w:smallCaps/>
                <w:spacing w:val="20"/>
                <w:sz w:val="28"/>
                <w:szCs w:val="28"/>
              </w:rPr>
              <w:t xml:space="preserve">Cámara de Diputados </w:t>
            </w:r>
          </w:p>
          <w:p w:rsidR="00C879B1" w:rsidRPr="00824353" w:rsidRDefault="00C879B1" w:rsidP="00BD3767">
            <w:pPr>
              <w:spacing w:line="276" w:lineRule="auto"/>
              <w:jc w:val="center"/>
              <w:rPr>
                <w:rFonts w:ascii="Bookman Old Style" w:hAnsi="Bookman Old Style"/>
                <w:b/>
                <w:smallCaps/>
                <w:spacing w:val="20"/>
                <w:sz w:val="28"/>
                <w:szCs w:val="28"/>
              </w:rPr>
            </w:pPr>
            <w:r w:rsidRPr="00824353">
              <w:rPr>
                <w:rFonts w:ascii="Bookman Old Style" w:hAnsi="Bookman Old Style"/>
                <w:b/>
                <w:smallCaps/>
                <w:spacing w:val="20"/>
                <w:sz w:val="28"/>
                <w:szCs w:val="28"/>
              </w:rPr>
              <w:t>LXIV Legislatura</w:t>
            </w:r>
          </w:p>
          <w:p w:rsidR="00C879B1" w:rsidRDefault="00C879B1" w:rsidP="00BD3767">
            <w:pPr>
              <w:spacing w:line="276" w:lineRule="auto"/>
              <w:jc w:val="center"/>
            </w:pPr>
          </w:p>
          <w:p w:rsidR="00C879B1" w:rsidRDefault="00C879B1" w:rsidP="00BD3767">
            <w:pPr>
              <w:spacing w:line="276" w:lineRule="auto"/>
              <w:jc w:val="center"/>
            </w:pPr>
            <w:r>
              <w:rPr>
                <w:noProof/>
                <w:lang w:eastAsia="es-MX"/>
              </w:rPr>
              <w:drawing>
                <wp:inline distT="0" distB="0" distL="0" distR="0" wp14:anchorId="75A1E8D3" wp14:editId="5F6DE2E2">
                  <wp:extent cx="1828959" cy="816935"/>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XIV-300p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959" cy="816935"/>
                          </a:xfrm>
                          <a:prstGeom prst="rect">
                            <a:avLst/>
                          </a:prstGeom>
                        </pic:spPr>
                      </pic:pic>
                    </a:graphicData>
                  </a:graphic>
                </wp:inline>
              </w:drawing>
            </w:r>
          </w:p>
          <w:p w:rsidR="00C879B1" w:rsidRDefault="00C879B1" w:rsidP="00BD3767">
            <w:pPr>
              <w:spacing w:line="276" w:lineRule="auto"/>
              <w:jc w:val="center"/>
            </w:pPr>
          </w:p>
          <w:p w:rsidR="00C879B1" w:rsidRDefault="00C879B1" w:rsidP="00BD3767">
            <w:pPr>
              <w:spacing w:line="276" w:lineRule="auto"/>
              <w:jc w:val="center"/>
            </w:pPr>
          </w:p>
          <w:p w:rsidR="00C879B1" w:rsidRDefault="00C879B1" w:rsidP="00BD3767">
            <w:pPr>
              <w:jc w:val="center"/>
              <w:rPr>
                <w:rFonts w:ascii="Bookman Old Style" w:hAnsi="Bookman Old Style"/>
                <w:b/>
                <w:smallCaps/>
                <w:spacing w:val="20"/>
                <w:sz w:val="28"/>
                <w:szCs w:val="28"/>
              </w:rPr>
            </w:pPr>
            <w:r>
              <w:rPr>
                <w:rFonts w:ascii="Bookman Old Style" w:hAnsi="Bookman Old Style"/>
                <w:b/>
                <w:smallCaps/>
                <w:spacing w:val="20"/>
                <w:sz w:val="28"/>
                <w:szCs w:val="28"/>
              </w:rPr>
              <w:t>Iniciativa con Proyecto de Decreto por el que se Reforman diversas disposiciones de la Ley de Energía para el Campo</w:t>
            </w:r>
          </w:p>
          <w:p w:rsidR="000566F6" w:rsidRPr="000566F6" w:rsidRDefault="000566F6" w:rsidP="00BD3767">
            <w:pPr>
              <w:jc w:val="center"/>
              <w:rPr>
                <w:rFonts w:ascii="Bookman Old Style" w:hAnsi="Bookman Old Style"/>
                <w:b/>
                <w:smallCaps/>
                <w:spacing w:val="20"/>
                <w:sz w:val="16"/>
                <w:szCs w:val="28"/>
              </w:rPr>
            </w:pPr>
            <w:r w:rsidRPr="000566F6">
              <w:rPr>
                <w:rFonts w:ascii="Bookman Old Style" w:hAnsi="Bookman Old Style"/>
                <w:b/>
                <w:smallCaps/>
                <w:spacing w:val="20"/>
                <w:sz w:val="16"/>
                <w:szCs w:val="28"/>
              </w:rPr>
              <w:t>(</w:t>
            </w:r>
            <w:r>
              <w:rPr>
                <w:rFonts w:ascii="Bookman Old Style" w:hAnsi="Bookman Old Style"/>
                <w:b/>
                <w:smallCaps/>
                <w:spacing w:val="20"/>
                <w:sz w:val="16"/>
                <w:szCs w:val="28"/>
              </w:rPr>
              <w:t>Presentada por el</w:t>
            </w:r>
            <w:r w:rsidRPr="00E6166B">
              <w:rPr>
                <w:rFonts w:ascii="Bookman Old Style" w:hAnsi="Bookman Old Style"/>
                <w:b/>
                <w:smallCaps/>
                <w:spacing w:val="20"/>
                <w:sz w:val="16"/>
                <w:szCs w:val="28"/>
              </w:rPr>
              <w:t xml:space="preserve"> Dip</w:t>
            </w:r>
            <w:r>
              <w:rPr>
                <w:rFonts w:ascii="Bookman Old Style" w:hAnsi="Bookman Old Style"/>
                <w:b/>
                <w:smallCaps/>
                <w:spacing w:val="20"/>
                <w:sz w:val="16"/>
                <w:szCs w:val="28"/>
              </w:rPr>
              <w:t>. Eulalio Juan Ríos Fararoni y suscrita por el Dip. Manuel Rodríguez, ambos del Gru</w:t>
            </w:r>
            <w:r w:rsidR="00AC1E90">
              <w:rPr>
                <w:rFonts w:ascii="Bookman Old Style" w:hAnsi="Bookman Old Style"/>
                <w:b/>
                <w:smallCaps/>
                <w:spacing w:val="20"/>
                <w:sz w:val="16"/>
                <w:szCs w:val="28"/>
              </w:rPr>
              <w:t>p</w:t>
            </w:r>
            <w:r>
              <w:rPr>
                <w:rFonts w:ascii="Bookman Old Style" w:hAnsi="Bookman Old Style"/>
                <w:b/>
                <w:smallCaps/>
                <w:spacing w:val="20"/>
                <w:sz w:val="16"/>
                <w:szCs w:val="28"/>
              </w:rPr>
              <w:t>o Parlamentario Morena</w:t>
            </w:r>
            <w:r w:rsidRPr="000566F6">
              <w:rPr>
                <w:rFonts w:ascii="Bookman Old Style" w:hAnsi="Bookman Old Style"/>
                <w:b/>
                <w:smallCaps/>
                <w:spacing w:val="20"/>
                <w:sz w:val="16"/>
                <w:szCs w:val="28"/>
              </w:rPr>
              <w:t>)</w:t>
            </w:r>
          </w:p>
          <w:bookmarkStart w:id="0" w:name="_Toc457991360"/>
          <w:bookmarkStart w:id="1" w:name="_Toc458074421"/>
          <w:bookmarkStart w:id="2" w:name="_Toc458075347"/>
          <w:bookmarkStart w:id="3" w:name="_Toc476141498"/>
          <w:bookmarkStart w:id="4" w:name="_Toc476141690"/>
          <w:p w:rsidR="00C879B1" w:rsidRPr="00824353" w:rsidRDefault="00C879B1" w:rsidP="00BD3767">
            <w:pPr>
              <w:pStyle w:val="Ttulo2"/>
              <w:spacing w:line="276" w:lineRule="auto"/>
              <w:rPr>
                <w:color w:val="92D050"/>
              </w:rPr>
            </w:pPr>
            <w:r w:rsidRPr="00824353">
              <w:rPr>
                <w:rFonts w:ascii="Bookman Old Style" w:hAnsi="Bookman Old Style"/>
                <w:b/>
                <w:noProof/>
                <w:color w:val="92D050"/>
                <w:lang w:eastAsia="es-MX"/>
              </w:rPr>
              <mc:AlternateContent>
                <mc:Choice Requires="wps">
                  <w:drawing>
                    <wp:anchor distT="0" distB="0" distL="114300" distR="114300" simplePos="0" relativeHeight="251659264" behindDoc="0" locked="0" layoutInCell="1" allowOverlap="1" wp14:anchorId="15A5D83D" wp14:editId="1665515D">
                      <wp:simplePos x="0" y="0"/>
                      <wp:positionH relativeFrom="column">
                        <wp:posOffset>504190</wp:posOffset>
                      </wp:positionH>
                      <wp:positionV relativeFrom="paragraph">
                        <wp:posOffset>114432</wp:posOffset>
                      </wp:positionV>
                      <wp:extent cx="5219700" cy="9525"/>
                      <wp:effectExtent l="0" t="0" r="19050" b="28575"/>
                      <wp:wrapNone/>
                      <wp:docPr id="64" name="Conector recto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700" cy="9525"/>
                              </a:xfrm>
                              <a:prstGeom prst="line">
                                <a:avLst/>
                              </a:prstGeom>
                              <a:ln>
                                <a:headEnd/>
                                <a:tailEnd/>
                              </a:ln>
                              <a:extLst/>
                            </wps:spPr>
                            <wps:style>
                              <a:lnRef idx="3">
                                <a:schemeClr val="accent6"/>
                              </a:lnRef>
                              <a:fillRef idx="0">
                                <a:schemeClr val="accent6"/>
                              </a:fillRef>
                              <a:effectRef idx="2">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D719FE" id="Conector recto 6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9pt" to="450.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" strokecolor="#70ad47 [3209]" strokeweight="1.5pt">
                      <v:stroke joinstyle="miter"/>
                    </v:line>
                  </w:pict>
                </mc:Fallback>
              </mc:AlternateContent>
            </w:r>
            <w:bookmarkEnd w:id="0"/>
            <w:bookmarkEnd w:id="1"/>
            <w:bookmarkEnd w:id="2"/>
            <w:bookmarkEnd w:id="3"/>
            <w:bookmarkEnd w:id="4"/>
          </w:p>
          <w:p w:rsidR="00C879B1" w:rsidRDefault="00C879B1" w:rsidP="00BD3767">
            <w:pPr>
              <w:spacing w:line="276" w:lineRule="auto"/>
              <w:jc w:val="center"/>
            </w:pPr>
          </w:p>
          <w:p w:rsidR="00C879B1" w:rsidRDefault="00C879B1" w:rsidP="00BD3767">
            <w:pPr>
              <w:spacing w:line="276" w:lineRule="auto"/>
              <w:jc w:val="center"/>
              <w:rPr>
                <w:lang w:val="es-ES_tradnl" w:eastAsia="es-MX"/>
              </w:rPr>
            </w:pPr>
            <w:r>
              <w:rPr>
                <w:noProof/>
                <w:lang w:eastAsia="es-MX"/>
              </w:rPr>
              <w:drawing>
                <wp:inline distT="0" distB="0" distL="0" distR="0" wp14:anchorId="47EF0EE9" wp14:editId="391BEE57">
                  <wp:extent cx="2806262" cy="832415"/>
                  <wp:effectExtent l="0" t="0" r="0" b="6350"/>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EDRSSA_extendido_sin_logo_cámara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0409" cy="854409"/>
                          </a:xfrm>
                          <a:prstGeom prst="rect">
                            <a:avLst/>
                          </a:prstGeom>
                        </pic:spPr>
                      </pic:pic>
                    </a:graphicData>
                  </a:graphic>
                </wp:inline>
              </w:drawing>
            </w:r>
          </w:p>
          <w:p w:rsidR="00C879B1" w:rsidRDefault="00C879B1" w:rsidP="00BD3767">
            <w:pPr>
              <w:spacing w:line="276" w:lineRule="auto"/>
              <w:jc w:val="center"/>
              <w:rPr>
                <w:lang w:val="es-ES_tradnl" w:eastAsia="es-MX"/>
              </w:rPr>
            </w:pPr>
          </w:p>
          <w:p w:rsidR="00C879B1" w:rsidRDefault="00C879B1" w:rsidP="00BD3767">
            <w:pPr>
              <w:spacing w:line="276" w:lineRule="auto"/>
              <w:jc w:val="center"/>
              <w:rPr>
                <w:lang w:val="es-ES_tradnl" w:eastAsia="es-MX"/>
              </w:rPr>
            </w:pPr>
          </w:p>
          <w:p w:rsidR="00C879B1" w:rsidRDefault="00C879B1" w:rsidP="00BD3767">
            <w:pPr>
              <w:spacing w:line="276" w:lineRule="auto"/>
              <w:jc w:val="center"/>
              <w:rPr>
                <w:lang w:val="es-ES_tradnl" w:eastAsia="es-MX"/>
              </w:rPr>
            </w:pPr>
          </w:p>
          <w:p w:rsidR="00C879B1" w:rsidRDefault="00C879B1" w:rsidP="00BD3767">
            <w:pPr>
              <w:spacing w:line="276" w:lineRule="auto"/>
              <w:jc w:val="center"/>
              <w:rPr>
                <w:lang w:val="es-ES_tradnl" w:eastAsia="es-MX"/>
              </w:rPr>
            </w:pPr>
          </w:p>
          <w:p w:rsidR="00C879B1" w:rsidRDefault="00C879B1" w:rsidP="00BD3767">
            <w:pPr>
              <w:spacing w:line="276" w:lineRule="auto"/>
              <w:jc w:val="center"/>
              <w:rPr>
                <w:lang w:val="es-ES_tradnl" w:eastAsia="es-MX"/>
              </w:rPr>
            </w:pPr>
          </w:p>
          <w:p w:rsidR="00C879B1" w:rsidRDefault="00C879B1" w:rsidP="00BD3767">
            <w:pPr>
              <w:spacing w:line="276" w:lineRule="auto"/>
              <w:jc w:val="center"/>
            </w:pPr>
            <w:r>
              <w:t>P</w:t>
            </w:r>
            <w:r w:rsidRPr="0073698F">
              <w:t xml:space="preserve">alacio Legislativo de San Lázaro, </w:t>
            </w:r>
            <w:r>
              <w:t>febrero 2020</w:t>
            </w:r>
          </w:p>
          <w:p w:rsidR="00C879B1" w:rsidRDefault="00C879B1" w:rsidP="00BD3767">
            <w:pPr>
              <w:spacing w:line="276" w:lineRule="auto"/>
              <w:jc w:val="center"/>
              <w:rPr>
                <w:lang w:val="es-ES_tradnl" w:eastAsia="es-MX"/>
              </w:rPr>
            </w:pPr>
          </w:p>
          <w:p w:rsidR="00C879B1" w:rsidRPr="00824353" w:rsidRDefault="00C879B1" w:rsidP="00BD3767">
            <w:pPr>
              <w:spacing w:line="276" w:lineRule="auto"/>
              <w:jc w:val="center"/>
            </w:pPr>
          </w:p>
        </w:tc>
      </w:tr>
    </w:tbl>
    <w:p w:rsidR="00C879B1" w:rsidRDefault="00C879B1">
      <w:pPr>
        <w:sectPr w:rsidR="00C879B1">
          <w:pgSz w:w="12240" w:h="15840"/>
          <w:pgMar w:top="1417" w:right="1701" w:bottom="1417" w:left="1701" w:header="708" w:footer="708" w:gutter="0"/>
          <w:cols w:space="708"/>
          <w:docGrid w:linePitch="360"/>
        </w:sectPr>
      </w:pPr>
    </w:p>
    <w:p w:rsidR="00C879B1" w:rsidRPr="00D4182E" w:rsidRDefault="00C879B1" w:rsidP="00C879B1">
      <w:pPr>
        <w:rPr>
          <w:rFonts w:ascii="Bookman Old Style" w:hAnsi="Bookman Old Style"/>
          <w:b/>
          <w:smallCaps/>
          <w:spacing w:val="20"/>
          <w:szCs w:val="28"/>
        </w:rPr>
      </w:pPr>
      <w:r w:rsidRPr="00D4182E">
        <w:rPr>
          <w:rFonts w:ascii="Bookman Old Style" w:hAnsi="Bookman Old Style"/>
          <w:b/>
          <w:smallCaps/>
          <w:spacing w:val="20"/>
          <w:szCs w:val="28"/>
        </w:rPr>
        <w:lastRenderedPageBreak/>
        <w:t>Iniciativa con Proyecto de Decreto por el que se Reforman diversas disposiciones de la Ley de Energía para el Campo</w:t>
      </w:r>
    </w:p>
    <w:p w:rsidR="00B53CF4" w:rsidRPr="00D4182E" w:rsidRDefault="009A5AF2" w:rsidP="00C879B1">
      <w:pPr>
        <w:spacing w:line="276" w:lineRule="auto"/>
        <w:rPr>
          <w:sz w:val="12"/>
        </w:rPr>
      </w:pPr>
    </w:p>
    <w:p w:rsidR="00C879B1" w:rsidRDefault="00C879B1" w:rsidP="00C879B1">
      <w:pPr>
        <w:rPr>
          <w:rFonts w:ascii="Bookman Old Style" w:hAnsi="Bookman Old Style"/>
          <w:b/>
          <w:smallCaps/>
          <w:spacing w:val="20"/>
          <w:szCs w:val="28"/>
        </w:rPr>
      </w:pPr>
      <w:r w:rsidRPr="005D2C92">
        <w:rPr>
          <w:rFonts w:ascii="Bookman Old Style" w:hAnsi="Bookman Old Style"/>
          <w:b/>
          <w:smallCaps/>
          <w:spacing w:val="20"/>
          <w:szCs w:val="28"/>
        </w:rPr>
        <w:t>I. Objetivo de la iniciativa</w:t>
      </w:r>
    </w:p>
    <w:p w:rsidR="00F92655" w:rsidRDefault="006F7F5F" w:rsidP="00C879B1">
      <w:pPr>
        <w:rPr>
          <w:rFonts w:cs="Arial"/>
        </w:rPr>
      </w:pPr>
      <w:r w:rsidRPr="00C879B1">
        <w:rPr>
          <w:rFonts w:cs="Arial"/>
        </w:rPr>
        <w:t xml:space="preserve">La iniciativa </w:t>
      </w:r>
      <w:r>
        <w:rPr>
          <w:rFonts w:cs="Arial"/>
        </w:rPr>
        <w:t>pretende reformar diversos</w:t>
      </w:r>
      <w:r w:rsidRPr="00C879B1">
        <w:rPr>
          <w:rFonts w:cs="Arial"/>
        </w:rPr>
        <w:t xml:space="preserve"> artículos de la Ley de Energía para el Campo</w:t>
      </w:r>
      <w:r>
        <w:rPr>
          <w:rFonts w:cs="Arial"/>
        </w:rPr>
        <w:t xml:space="preserve"> con el objetivo</w:t>
      </w:r>
      <w:r w:rsidR="002C5279">
        <w:rPr>
          <w:rFonts w:cs="Arial"/>
        </w:rPr>
        <w:t xml:space="preserve"> </w:t>
      </w:r>
      <w:r>
        <w:rPr>
          <w:rFonts w:cs="Arial"/>
        </w:rPr>
        <w:t xml:space="preserve">de igualar el cobro en la tarifa de la energía eléctrica de las actividades acuícolas, con las actividades agropecuarias. Al igual, pretende </w:t>
      </w:r>
      <w:r w:rsidRPr="00F92655">
        <w:rPr>
          <w:rFonts w:cs="Arial"/>
        </w:rPr>
        <w:t>ar</w:t>
      </w:r>
      <w:r w:rsidR="000C3009" w:rsidRPr="00F92655">
        <w:rPr>
          <w:rFonts w:cs="Arial"/>
        </w:rPr>
        <w:t>monizar</w:t>
      </w:r>
      <w:r w:rsidRPr="00F92655">
        <w:rPr>
          <w:rFonts w:cs="Arial"/>
        </w:rPr>
        <w:t xml:space="preserve"> </w:t>
      </w:r>
      <w:r w:rsidR="000C3009" w:rsidRPr="00F92655">
        <w:rPr>
          <w:rFonts w:cs="Arial"/>
        </w:rPr>
        <w:t xml:space="preserve">la Ley de Energía para el Campo con las adecuaciones normativas a la Ley Orgánica de la Administración Pública Federal, que extinguieron a </w:t>
      </w:r>
      <w:r w:rsidRPr="00F92655">
        <w:rPr>
          <w:rFonts w:cs="Arial"/>
        </w:rPr>
        <w:t>la Secretaría de Agricultura, Ganadería, Desarrollo Rural, Pesca y Alimentación</w:t>
      </w:r>
      <w:r w:rsidR="000C3009" w:rsidRPr="00F92655">
        <w:rPr>
          <w:rFonts w:cs="Arial"/>
        </w:rPr>
        <w:t>, para quedar en su lugar la</w:t>
      </w:r>
      <w:r w:rsidRPr="00F92655">
        <w:rPr>
          <w:rFonts w:cs="Arial"/>
        </w:rPr>
        <w:t xml:space="preserve"> Secretaría de Agricultura y Desarrollo Rural.</w:t>
      </w:r>
    </w:p>
    <w:p w:rsidR="00C879B1" w:rsidRDefault="00C879B1" w:rsidP="00C879B1">
      <w:pPr>
        <w:rPr>
          <w:rFonts w:ascii="Bookman Old Style" w:hAnsi="Bookman Old Style"/>
          <w:b/>
          <w:smallCaps/>
          <w:spacing w:val="20"/>
          <w:szCs w:val="28"/>
        </w:rPr>
      </w:pPr>
      <w:r>
        <w:rPr>
          <w:rFonts w:ascii="Bookman Old Style" w:hAnsi="Bookman Old Style"/>
          <w:b/>
          <w:smallCaps/>
          <w:spacing w:val="20"/>
          <w:szCs w:val="28"/>
        </w:rPr>
        <w:t xml:space="preserve">II. Exposición de Motivos </w:t>
      </w:r>
      <w:r w:rsidR="00066013">
        <w:rPr>
          <w:rFonts w:ascii="Bookman Old Style" w:hAnsi="Bookman Old Style"/>
          <w:b/>
          <w:smallCaps/>
          <w:spacing w:val="20"/>
          <w:szCs w:val="28"/>
        </w:rPr>
        <w:t>de la Iniciativa</w:t>
      </w:r>
    </w:p>
    <w:p w:rsidR="00C879B1" w:rsidRDefault="00764B26" w:rsidP="00C879B1">
      <w:pPr>
        <w:spacing w:line="276" w:lineRule="auto"/>
      </w:pPr>
      <w:r w:rsidRPr="00543605">
        <w:t>La exposición de motivos, resalta la importancia de la actividad acuícola en la producción de alimentos, y la necesidad de promover acciones legislativas encaminadas a fortalecer el sector acuícola.</w:t>
      </w:r>
      <w:r>
        <w:t xml:space="preserve"> </w:t>
      </w:r>
    </w:p>
    <w:p w:rsidR="00A134E6" w:rsidRPr="00F92655" w:rsidRDefault="00A134E6" w:rsidP="00C879B1">
      <w:pPr>
        <w:spacing w:line="276" w:lineRule="auto"/>
      </w:pPr>
      <w:r w:rsidRPr="00F92655">
        <w:t>Menciona que una de las exigencias constantes de productores acuícolas, investigadores y especialistas, es atender los precios elevados que suelen pagar por el consumo de la energía eléctrica necesaria para realizar sus actividades de producción, en los cuales se requieren sistemas de bombeo de gran capacidad para efectuar cambios constantes de agua en sus estanques, utilizando equipos que implican un consumo importante de energía.</w:t>
      </w:r>
    </w:p>
    <w:p w:rsidR="001C6A5B" w:rsidRPr="00F92655" w:rsidRDefault="001C6A5B" w:rsidP="00C879B1">
      <w:pPr>
        <w:spacing w:line="276" w:lineRule="auto"/>
      </w:pPr>
      <w:r w:rsidRPr="00F92655">
        <w:t>Señala que el alza en las tarifas eléctricas de la acuacultura, es una situación que se ha presentado desde el 2016, en que sufrieron un incremento del 5.2% al 7.5%; las comerciales alcanzaron hasta el 9%.</w:t>
      </w:r>
    </w:p>
    <w:p w:rsidR="001C6A5B" w:rsidRPr="00F92655" w:rsidRDefault="001C6A5B" w:rsidP="00C879B1">
      <w:pPr>
        <w:spacing w:line="276" w:lineRule="auto"/>
      </w:pPr>
      <w:r w:rsidRPr="00F92655">
        <w:t>Expone que, si bien es cierto que existe el Programa de Energía para el Campo en Materia de Energía Eléctrica, que establece la normatividad en materia de energía eléctrica utilizada en instalaciones acuícolas, con la finalidad de que las personas físicas y morales que realicen estas actividades sean beneficiarias de cuotas energéticas; las disposiciones han sido insuficientes para atender las necesidades de los productores acuícolas, toda vez que continúan pagando precios elevados y muy superiores a los que pagan los agricultores y ganaderos, impactando negativamente a quienes se dedican a la acu</w:t>
      </w:r>
      <w:r w:rsidR="005F03E3" w:rsidRPr="00F92655">
        <w:t>a</w:t>
      </w:r>
      <w:r w:rsidRPr="00F92655">
        <w:t>c</w:t>
      </w:r>
      <w:r w:rsidR="005F03E3" w:rsidRPr="00F92655">
        <w:t>ultura</w:t>
      </w:r>
      <w:r w:rsidRPr="00F92655">
        <w:t xml:space="preserve">, ya que se incrementan sus costos de producción y por consecuencia, </w:t>
      </w:r>
      <w:r w:rsidR="005F03E3" w:rsidRPr="00F92655">
        <w:t xml:space="preserve">se afecta negativamente </w:t>
      </w:r>
      <w:r w:rsidRPr="00F92655">
        <w:t>su competitividad.</w:t>
      </w:r>
    </w:p>
    <w:p w:rsidR="00C879B1" w:rsidRDefault="001C6A5B" w:rsidP="00C879B1">
      <w:pPr>
        <w:spacing w:line="276" w:lineRule="auto"/>
      </w:pPr>
      <w:r>
        <w:t>Por tanto, s</w:t>
      </w:r>
      <w:r w:rsidR="007927F4">
        <w:t>e pretende dar</w:t>
      </w:r>
      <w:r w:rsidR="00764B26" w:rsidRPr="00764B26">
        <w:t xml:space="preserve"> mayor </w:t>
      </w:r>
      <w:r w:rsidR="00C837E2">
        <w:t>certeza jurídica para</w:t>
      </w:r>
      <w:r w:rsidR="00764B26" w:rsidRPr="00764B26">
        <w:t xml:space="preserve"> que la </w:t>
      </w:r>
      <w:r w:rsidR="00764B26" w:rsidRPr="00B1325D">
        <w:t>cuota que actualmente se a</w:t>
      </w:r>
      <w:r w:rsidR="00B1325D" w:rsidRPr="00B1325D">
        <w:t>plica</w:t>
      </w:r>
      <w:r w:rsidR="00764B26" w:rsidRPr="00B1325D">
        <w:t xml:space="preserve"> a las actividades </w:t>
      </w:r>
      <w:r w:rsidR="002C5279">
        <w:t>a</w:t>
      </w:r>
      <w:r w:rsidR="00764B26" w:rsidRPr="00B1325D">
        <w:t xml:space="preserve">grícolas y </w:t>
      </w:r>
      <w:r w:rsidR="002C5279">
        <w:t>g</w:t>
      </w:r>
      <w:r w:rsidR="00764B26" w:rsidRPr="00B1325D">
        <w:t xml:space="preserve">anaderas, sea otorgada </w:t>
      </w:r>
      <w:r w:rsidR="00C837E2" w:rsidRPr="00B1325D">
        <w:t>a</w:t>
      </w:r>
      <w:r w:rsidR="00764B26" w:rsidRPr="00B1325D">
        <w:t xml:space="preserve"> la actividad </w:t>
      </w:r>
      <w:r w:rsidR="002C5279">
        <w:t>a</w:t>
      </w:r>
      <w:r w:rsidR="00764B26" w:rsidRPr="00B1325D">
        <w:t>cuícola y con ello</w:t>
      </w:r>
      <w:r w:rsidR="00C837E2" w:rsidRPr="00B1325D">
        <w:t>,</w:t>
      </w:r>
      <w:r w:rsidR="00764B26" w:rsidRPr="00B1325D">
        <w:t xml:space="preserve"> lograr su homologación.</w:t>
      </w:r>
    </w:p>
    <w:p w:rsidR="002C5279" w:rsidRPr="00F92655" w:rsidRDefault="002C5279" w:rsidP="00C879B1">
      <w:pPr>
        <w:spacing w:line="276" w:lineRule="auto"/>
      </w:pPr>
      <w:r w:rsidRPr="00F92655">
        <w:lastRenderedPageBreak/>
        <w:t>Considera oportuno armonizar la Ley de Energía para el Campo</w:t>
      </w:r>
      <w:r w:rsidR="000C3009" w:rsidRPr="00F92655">
        <w:t xml:space="preserve"> con las adecuaciones normativas a la Ley Orgánica de la Administración Pública Federal, publicada en el DOF el 30 de noviembre de 2018, que actualizó la estructura y funcionamiento de diversas dependencias y secretarías del gobiernos federal, específicamente a las disposiciones que extinguieron a la Secretaría de Agricultura, Ganadería, Desarrollo Rural, Pesca y Alimentación (SAGARPA), quedando en su lugar la Secretaría de Agricultura y Desarrollo Rural (SADER).</w:t>
      </w:r>
    </w:p>
    <w:p w:rsidR="00D4182E" w:rsidRDefault="00C879B1" w:rsidP="00C879B1">
      <w:pPr>
        <w:spacing w:line="276" w:lineRule="auto"/>
        <w:rPr>
          <w:rFonts w:ascii="Bookman Old Style" w:hAnsi="Bookman Old Style"/>
          <w:b/>
          <w:smallCaps/>
          <w:spacing w:val="20"/>
          <w:szCs w:val="28"/>
        </w:rPr>
      </w:pPr>
      <w:r>
        <w:rPr>
          <w:rFonts w:ascii="Bookman Old Style" w:hAnsi="Bookman Old Style"/>
          <w:b/>
          <w:smallCaps/>
          <w:spacing w:val="20"/>
          <w:szCs w:val="28"/>
        </w:rPr>
        <w:t xml:space="preserve">III. </w:t>
      </w:r>
      <w:r w:rsidR="00D4182E">
        <w:rPr>
          <w:rFonts w:ascii="Bookman Old Style" w:hAnsi="Bookman Old Style"/>
          <w:b/>
          <w:smallCaps/>
          <w:spacing w:val="20"/>
          <w:szCs w:val="28"/>
        </w:rPr>
        <w:t>Contenido</w:t>
      </w:r>
    </w:p>
    <w:p w:rsidR="006F7F5F" w:rsidRPr="00C879B1" w:rsidRDefault="006F7F5F" w:rsidP="006F7F5F">
      <w:pPr>
        <w:rPr>
          <w:rFonts w:cs="Arial"/>
        </w:rPr>
      </w:pPr>
      <w:r w:rsidRPr="00C879B1">
        <w:rPr>
          <w:rFonts w:cs="Arial"/>
        </w:rPr>
        <w:t>La iniciativa pretende reformar los siguientes artículos, de la Ley de Energía para el Campo:</w:t>
      </w:r>
    </w:p>
    <w:p w:rsidR="006F7F5F" w:rsidRPr="00C879B1" w:rsidRDefault="006F7F5F" w:rsidP="006F7F5F">
      <w:pPr>
        <w:pStyle w:val="Prrafodelista"/>
        <w:numPr>
          <w:ilvl w:val="0"/>
          <w:numId w:val="2"/>
        </w:numPr>
        <w:rPr>
          <w:rFonts w:cs="Arial"/>
        </w:rPr>
      </w:pPr>
      <w:r w:rsidRPr="00C879B1">
        <w:rPr>
          <w:rFonts w:cs="Arial"/>
        </w:rPr>
        <w:t>Art. 1°, párrafo segundo.</w:t>
      </w:r>
    </w:p>
    <w:p w:rsidR="006F7F5F" w:rsidRPr="00C879B1" w:rsidRDefault="006F7F5F" w:rsidP="006F7F5F">
      <w:pPr>
        <w:pStyle w:val="Prrafodelista"/>
        <w:numPr>
          <w:ilvl w:val="0"/>
          <w:numId w:val="2"/>
        </w:numPr>
        <w:rPr>
          <w:rFonts w:cs="Arial"/>
        </w:rPr>
      </w:pPr>
      <w:r w:rsidRPr="00C879B1">
        <w:rPr>
          <w:rFonts w:cs="Arial"/>
        </w:rPr>
        <w:t>Art. 5°, párrafos segundo y cuarto.</w:t>
      </w:r>
    </w:p>
    <w:p w:rsidR="006F7F5F" w:rsidRPr="00C879B1" w:rsidRDefault="00461650" w:rsidP="006F7F5F">
      <w:pPr>
        <w:pStyle w:val="Prrafodelista"/>
        <w:numPr>
          <w:ilvl w:val="0"/>
          <w:numId w:val="2"/>
        </w:numPr>
        <w:rPr>
          <w:rFonts w:cs="Arial"/>
        </w:rPr>
      </w:pPr>
      <w:r>
        <w:rPr>
          <w:rFonts w:cs="Arial"/>
        </w:rPr>
        <w:t>Art. 6°.</w:t>
      </w:r>
    </w:p>
    <w:p w:rsidR="006F7F5F" w:rsidRPr="00C879B1" w:rsidRDefault="006F7F5F" w:rsidP="006F7F5F">
      <w:pPr>
        <w:pStyle w:val="Prrafodelista"/>
        <w:numPr>
          <w:ilvl w:val="0"/>
          <w:numId w:val="2"/>
        </w:numPr>
        <w:rPr>
          <w:rFonts w:cs="Arial"/>
        </w:rPr>
      </w:pPr>
      <w:r w:rsidRPr="00C879B1">
        <w:rPr>
          <w:rFonts w:cs="Arial"/>
        </w:rPr>
        <w:t>Art. 7°, párrafo primero, las fracciones I y III, además se adiciona una fracción III, recorriéndose la subsecuente, y se reforma párrafo segundo.</w:t>
      </w:r>
    </w:p>
    <w:p w:rsidR="006F7F5F" w:rsidRPr="00C879B1" w:rsidRDefault="006F7F5F" w:rsidP="006F7F5F">
      <w:pPr>
        <w:pStyle w:val="Prrafodelista"/>
        <w:numPr>
          <w:ilvl w:val="0"/>
          <w:numId w:val="2"/>
        </w:numPr>
        <w:rPr>
          <w:rFonts w:cs="Arial"/>
        </w:rPr>
      </w:pPr>
      <w:r w:rsidRPr="00C879B1">
        <w:rPr>
          <w:rFonts w:cs="Arial"/>
        </w:rPr>
        <w:t>Art. 8°.</w:t>
      </w:r>
    </w:p>
    <w:p w:rsidR="006F7F5F" w:rsidRPr="00C879B1" w:rsidRDefault="006F7F5F" w:rsidP="006F7F5F">
      <w:pPr>
        <w:pStyle w:val="Prrafodelista"/>
        <w:numPr>
          <w:ilvl w:val="0"/>
          <w:numId w:val="2"/>
        </w:numPr>
        <w:rPr>
          <w:rFonts w:cs="Arial"/>
        </w:rPr>
      </w:pPr>
      <w:r w:rsidRPr="00C879B1">
        <w:rPr>
          <w:rFonts w:cs="Arial"/>
        </w:rPr>
        <w:t>Art. 9°, párrafo segundo.</w:t>
      </w:r>
    </w:p>
    <w:p w:rsidR="006F7F5F" w:rsidRPr="00C879B1" w:rsidRDefault="006F7F5F" w:rsidP="006F7F5F">
      <w:pPr>
        <w:pStyle w:val="Prrafodelista"/>
        <w:numPr>
          <w:ilvl w:val="0"/>
          <w:numId w:val="2"/>
        </w:numPr>
        <w:rPr>
          <w:rFonts w:cs="Arial"/>
        </w:rPr>
      </w:pPr>
      <w:r w:rsidRPr="00C879B1">
        <w:rPr>
          <w:rFonts w:cs="Arial"/>
        </w:rPr>
        <w:t>Art. 10°.</w:t>
      </w:r>
    </w:p>
    <w:p w:rsidR="00C879B1" w:rsidRDefault="00D4182E" w:rsidP="00C879B1">
      <w:pPr>
        <w:spacing w:line="276" w:lineRule="auto"/>
        <w:rPr>
          <w:rFonts w:ascii="Bookman Old Style" w:hAnsi="Bookman Old Style"/>
          <w:b/>
          <w:smallCaps/>
          <w:spacing w:val="20"/>
          <w:szCs w:val="28"/>
        </w:rPr>
      </w:pPr>
      <w:r>
        <w:rPr>
          <w:rFonts w:ascii="Bookman Old Style" w:hAnsi="Bookman Old Style"/>
          <w:b/>
          <w:smallCaps/>
          <w:spacing w:val="20"/>
          <w:szCs w:val="28"/>
        </w:rPr>
        <w:t xml:space="preserve">IV. </w:t>
      </w:r>
      <w:r w:rsidR="00C879B1">
        <w:rPr>
          <w:rFonts w:ascii="Bookman Old Style" w:hAnsi="Bookman Old Style"/>
          <w:b/>
          <w:smallCaps/>
          <w:spacing w:val="20"/>
          <w:szCs w:val="28"/>
        </w:rPr>
        <w:t>Consideraciones</w:t>
      </w:r>
    </w:p>
    <w:p w:rsidR="00C36F5F" w:rsidRDefault="00C879B1" w:rsidP="00B51E9D">
      <w:pPr>
        <w:rPr>
          <w:rFonts w:cs="Arial"/>
        </w:rPr>
      </w:pPr>
      <w:r w:rsidRPr="00D4182E">
        <w:rPr>
          <w:rFonts w:ascii="Bookman Old Style" w:hAnsi="Bookman Old Style"/>
          <w:b/>
          <w:smallCaps/>
          <w:spacing w:val="20"/>
          <w:szCs w:val="28"/>
        </w:rPr>
        <w:t>PRIMERO.</w:t>
      </w:r>
      <w:r w:rsidR="00B51E9D">
        <w:t xml:space="preserve"> </w:t>
      </w:r>
      <w:r w:rsidR="00C36F5F">
        <w:t>En caso de que se aprobará la iniciativa, es oportuno realizar los cambios d</w:t>
      </w:r>
      <w:r w:rsidR="007927F4" w:rsidRPr="006F7F5F">
        <w:rPr>
          <w:rFonts w:cs="Arial"/>
        </w:rPr>
        <w:t>e acuerdo a las</w:t>
      </w:r>
      <w:r w:rsidR="00245EC5">
        <w:rPr>
          <w:rFonts w:cs="Arial"/>
        </w:rPr>
        <w:t xml:space="preserve"> r</w:t>
      </w:r>
      <w:r w:rsidR="00B51E9D" w:rsidRPr="006F7F5F">
        <w:rPr>
          <w:rFonts w:cs="Arial"/>
        </w:rPr>
        <w:t>eformas</w:t>
      </w:r>
      <w:r w:rsidR="00461650">
        <w:rPr>
          <w:rFonts w:cs="Arial"/>
        </w:rPr>
        <w:t xml:space="preserve"> de los artículos: 1°, párrafo segundo; art. 5°, párrafo</w:t>
      </w:r>
      <w:r w:rsidR="00461650" w:rsidRPr="00C879B1">
        <w:rPr>
          <w:rFonts w:cs="Arial"/>
        </w:rPr>
        <w:t xml:space="preserve"> segundo</w:t>
      </w:r>
      <w:r w:rsidR="00461650">
        <w:rPr>
          <w:rFonts w:cs="Arial"/>
        </w:rPr>
        <w:t xml:space="preserve">; art. </w:t>
      </w:r>
      <w:r w:rsidR="00461650" w:rsidRPr="00C879B1">
        <w:rPr>
          <w:rFonts w:cs="Arial"/>
        </w:rPr>
        <w:t>6°</w:t>
      </w:r>
      <w:r w:rsidR="00461650">
        <w:rPr>
          <w:rFonts w:cs="Arial"/>
        </w:rPr>
        <w:t>; a</w:t>
      </w:r>
      <w:r w:rsidR="00461650" w:rsidRPr="00C879B1">
        <w:rPr>
          <w:rFonts w:cs="Arial"/>
        </w:rPr>
        <w:t>rt. 7°, párrafo primero,</w:t>
      </w:r>
      <w:r w:rsidR="00461650">
        <w:rPr>
          <w:rFonts w:cs="Arial"/>
        </w:rPr>
        <w:t xml:space="preserve"> fracción</w:t>
      </w:r>
      <w:r w:rsidR="00461650" w:rsidRPr="00C879B1">
        <w:rPr>
          <w:rFonts w:cs="Arial"/>
        </w:rPr>
        <w:t xml:space="preserve"> III</w:t>
      </w:r>
      <w:r w:rsidR="00B51E9D" w:rsidRPr="006F7F5F">
        <w:rPr>
          <w:rFonts w:cs="Arial"/>
        </w:rPr>
        <w:t xml:space="preserve"> </w:t>
      </w:r>
      <w:r w:rsidR="00461650">
        <w:rPr>
          <w:rFonts w:cs="Arial"/>
        </w:rPr>
        <w:t xml:space="preserve">y </w:t>
      </w:r>
      <w:r w:rsidR="00461650" w:rsidRPr="00C879B1">
        <w:rPr>
          <w:rFonts w:cs="Arial"/>
        </w:rPr>
        <w:t>párrafo segundo</w:t>
      </w:r>
      <w:r w:rsidR="00461650">
        <w:rPr>
          <w:rFonts w:cs="Arial"/>
        </w:rPr>
        <w:t xml:space="preserve">; art. 8°; art. 9° </w:t>
      </w:r>
      <w:r w:rsidR="00461650" w:rsidRPr="00C879B1">
        <w:rPr>
          <w:rFonts w:cs="Arial"/>
        </w:rPr>
        <w:t>párrafo segundo</w:t>
      </w:r>
      <w:r w:rsidR="00461650">
        <w:rPr>
          <w:rFonts w:cs="Arial"/>
        </w:rPr>
        <w:t xml:space="preserve"> y art. 10°, referentes al cambio de </w:t>
      </w:r>
      <w:r w:rsidR="00461650" w:rsidRPr="006F7F5F">
        <w:rPr>
          <w:rFonts w:cs="Arial"/>
        </w:rPr>
        <w:t>nombre de la Secretaría de Agricultura, Ganadería, Desarrollo Rural, Pesca y Alimentación, por el de Secretaría de Agricultura y Desarrollo Rural</w:t>
      </w:r>
      <w:r w:rsidR="00461650">
        <w:rPr>
          <w:rFonts w:cs="Arial"/>
        </w:rPr>
        <w:t xml:space="preserve">. </w:t>
      </w:r>
    </w:p>
    <w:p w:rsidR="00B51E9D" w:rsidRDefault="00C36F5F" w:rsidP="00B51E9D">
      <w:pPr>
        <w:rPr>
          <w:rFonts w:cs="Arial"/>
          <w:i/>
        </w:rPr>
      </w:pPr>
      <w:r>
        <w:rPr>
          <w:rFonts w:cs="Arial"/>
        </w:rPr>
        <w:t>Sin embargo, l</w:t>
      </w:r>
      <w:r w:rsidR="00461650">
        <w:rPr>
          <w:rFonts w:cs="Arial"/>
        </w:rPr>
        <w:t xml:space="preserve">a </w:t>
      </w:r>
      <w:r w:rsidR="00461650" w:rsidRPr="006F7F5F">
        <w:rPr>
          <w:rFonts w:cs="Arial"/>
        </w:rPr>
        <w:t>Ley Orgánica de la Administración Pública Federal,</w:t>
      </w:r>
      <w:r w:rsidR="00461650">
        <w:rPr>
          <w:rFonts w:cs="Arial"/>
        </w:rPr>
        <w:t xml:space="preserve"> en las reformas del 30 de noviembre de 2018</w:t>
      </w:r>
      <w:r w:rsidR="00B51E9D" w:rsidRPr="006F7F5F">
        <w:rPr>
          <w:rFonts w:cs="Arial"/>
        </w:rPr>
        <w:t xml:space="preserve">, señala </w:t>
      </w:r>
      <w:r w:rsidR="00D80940">
        <w:rPr>
          <w:rFonts w:cs="Arial"/>
        </w:rPr>
        <w:t xml:space="preserve">en el artículo Décimo Tercero Transitorio </w:t>
      </w:r>
      <w:r w:rsidR="00B51E9D" w:rsidRPr="006F7F5F">
        <w:rPr>
          <w:rFonts w:cs="Arial"/>
        </w:rPr>
        <w:t xml:space="preserve">que </w:t>
      </w:r>
      <w:r w:rsidR="00B51E9D" w:rsidRPr="006F7F5F">
        <w:rPr>
          <w:rFonts w:cs="Arial"/>
          <w:i/>
        </w:rPr>
        <w:t>“las menciones contenidas en otras leyes, reglamentos y en general en cualquier disposición, respecto de las unidades administrativas cuya denominación, funciones y estructura se hayan reformado por virtud de este Decreto, se entenderán referidas a las nuevas unidades, conforme a lo establecido en el presente Decreto”.</w:t>
      </w:r>
    </w:p>
    <w:p w:rsidR="00C36F5F" w:rsidRDefault="00C879B1" w:rsidP="008D1806">
      <w:pPr>
        <w:spacing w:line="276" w:lineRule="auto"/>
      </w:pPr>
      <w:r w:rsidRPr="008D1806">
        <w:rPr>
          <w:rFonts w:ascii="Bookman Old Style" w:hAnsi="Bookman Old Style"/>
          <w:b/>
          <w:smallCaps/>
          <w:spacing w:val="20"/>
          <w:szCs w:val="28"/>
        </w:rPr>
        <w:t>SEGUNDO.</w:t>
      </w:r>
      <w:r w:rsidRPr="00D4182E">
        <w:t xml:space="preserve"> </w:t>
      </w:r>
      <w:r w:rsidR="00F45BF3">
        <w:t>Respecto a la</w:t>
      </w:r>
      <w:r w:rsidR="00F2076E">
        <w:t>s</w:t>
      </w:r>
      <w:r w:rsidR="00245EC5">
        <w:t xml:space="preserve"> r</w:t>
      </w:r>
      <w:r w:rsidR="00390CD1">
        <w:t>eforma</w:t>
      </w:r>
      <w:r w:rsidR="00F2076E">
        <w:t>s del artículo 7</w:t>
      </w:r>
      <w:r w:rsidR="002C5279">
        <w:t>,</w:t>
      </w:r>
      <w:r w:rsidR="00F2076E">
        <w:t xml:space="preserve"> sobre otorgar la cuota energética en:</w:t>
      </w:r>
    </w:p>
    <w:p w:rsidR="00F2076E" w:rsidRPr="00F92655" w:rsidRDefault="00C36F5F" w:rsidP="008D1806">
      <w:pPr>
        <w:spacing w:line="276" w:lineRule="auto"/>
      </w:pPr>
      <w:r>
        <w:t>En relación a la fracción I, e</w:t>
      </w:r>
      <w:r w:rsidR="007C497A" w:rsidRPr="00F92655">
        <w:t xml:space="preserve">s pertinente </w:t>
      </w:r>
      <w:r w:rsidR="00B1325D" w:rsidRPr="00F92655">
        <w:t xml:space="preserve">la </w:t>
      </w:r>
      <w:r w:rsidR="00F45BF3" w:rsidRPr="00F92655">
        <w:t>inclu</w:t>
      </w:r>
      <w:r w:rsidR="007C497A" w:rsidRPr="00F92655">
        <w:t>sión</w:t>
      </w:r>
      <w:r w:rsidR="00390CD1" w:rsidRPr="00F92655">
        <w:t xml:space="preserve"> </w:t>
      </w:r>
      <w:r w:rsidR="007C497A" w:rsidRPr="00F92655">
        <w:t>d</w:t>
      </w:r>
      <w:r w:rsidR="00390CD1" w:rsidRPr="00F92655">
        <w:t>el término motores de bombeo y rebombeo</w:t>
      </w:r>
      <w:r w:rsidR="007C497A" w:rsidRPr="00F92655">
        <w:t xml:space="preserve"> acuícola, d</w:t>
      </w:r>
      <w:r w:rsidR="00390CD1" w:rsidRPr="00F92655">
        <w:t xml:space="preserve">ebido a </w:t>
      </w:r>
      <w:r w:rsidR="00F45BF3" w:rsidRPr="00F92655">
        <w:t xml:space="preserve">que la acuicultura utiliza motores para bombear y rebombear </w:t>
      </w:r>
      <w:r w:rsidR="007C497A" w:rsidRPr="00F92655">
        <w:t xml:space="preserve">el agua y su </w:t>
      </w:r>
      <w:r w:rsidR="00B1325D" w:rsidRPr="00F92655">
        <w:t xml:space="preserve">recambio </w:t>
      </w:r>
      <w:r w:rsidR="00F45BF3" w:rsidRPr="00F92655">
        <w:t xml:space="preserve">durante la vida de las especies </w:t>
      </w:r>
      <w:r w:rsidR="00245EC5" w:rsidRPr="00F92655">
        <w:t>acuícolas</w:t>
      </w:r>
      <w:r w:rsidR="00F2076E" w:rsidRPr="00F92655">
        <w:t>.</w:t>
      </w:r>
    </w:p>
    <w:p w:rsidR="005860BD" w:rsidRDefault="00C36F5F" w:rsidP="005860BD">
      <w:pPr>
        <w:spacing w:line="276" w:lineRule="auto"/>
      </w:pPr>
      <w:r>
        <w:lastRenderedPageBreak/>
        <w:t>En el caso de la fracción III, e</w:t>
      </w:r>
      <w:r w:rsidR="00D9204B">
        <w:t>s oportuno</w:t>
      </w:r>
      <w:r w:rsidR="00F2076E" w:rsidRPr="00F92655">
        <w:t xml:space="preserve"> </w:t>
      </w:r>
      <w:r w:rsidR="007C497A" w:rsidRPr="00F92655">
        <w:t>la inclusión de</w:t>
      </w:r>
      <w:r w:rsidR="00F2076E" w:rsidRPr="00F92655">
        <w:t xml:space="preserve"> </w:t>
      </w:r>
      <w:r w:rsidR="001C6345" w:rsidRPr="00F92655">
        <w:t>“</w:t>
      </w:r>
      <w:r w:rsidR="00F2076E" w:rsidRPr="00F92655">
        <w:t xml:space="preserve">equipos e implementos </w:t>
      </w:r>
      <w:r w:rsidR="001C6345" w:rsidRPr="00F92655">
        <w:t xml:space="preserve">utilizados en los procesos de producción de actividades </w:t>
      </w:r>
      <w:r w:rsidR="00F2076E" w:rsidRPr="00F92655">
        <w:t>acuícola</w:t>
      </w:r>
      <w:r w:rsidR="001C6345" w:rsidRPr="00F92655">
        <w:t>s”</w:t>
      </w:r>
      <w:r w:rsidR="00F2076E" w:rsidRPr="00F92655">
        <w:rPr>
          <w:rStyle w:val="Refdenotaalpie"/>
        </w:rPr>
        <w:footnoteReference w:id="1"/>
      </w:r>
      <w:r w:rsidR="005860BD" w:rsidRPr="00F92655">
        <w:t>,</w:t>
      </w:r>
      <w:r w:rsidR="00F2076E" w:rsidRPr="00F92655">
        <w:t xml:space="preserve"> </w:t>
      </w:r>
      <w:r w:rsidR="00053B2A" w:rsidRPr="00F92655">
        <w:t>debido a la</w:t>
      </w:r>
      <w:r w:rsidR="005860BD" w:rsidRPr="00F92655">
        <w:t>s necesidades de los organismos acuáticos en procesos de producción</w:t>
      </w:r>
      <w:r w:rsidR="007C497A" w:rsidRPr="00F92655">
        <w:t>.</w:t>
      </w:r>
      <w:r w:rsidR="005860BD" w:rsidRPr="00F92655">
        <w:t xml:space="preserve"> </w:t>
      </w:r>
      <w:r w:rsidR="007C497A" w:rsidRPr="00F92655">
        <w:t>P</w:t>
      </w:r>
      <w:r w:rsidR="00EB2ECB" w:rsidRPr="00F92655">
        <w:t>or ejemplo,</w:t>
      </w:r>
      <w:r w:rsidR="005860BD" w:rsidRPr="00F92655">
        <w:t xml:space="preserve"> la </w:t>
      </w:r>
      <w:r w:rsidR="003235A1" w:rsidRPr="00F92655">
        <w:t>generación de</w:t>
      </w:r>
      <w:r w:rsidR="005860BD" w:rsidRPr="00F92655">
        <w:t xml:space="preserve"> oxígeno por medio de </w:t>
      </w:r>
      <w:r w:rsidR="005860BD" w:rsidRPr="00F92655">
        <w:rPr>
          <w:lang w:eastAsia="es-MX"/>
        </w:rPr>
        <w:t>aireadores mecánicos</w:t>
      </w:r>
      <w:r w:rsidR="005860BD" w:rsidRPr="00F92655">
        <w:t>, factor importante en</w:t>
      </w:r>
      <w:r w:rsidR="00EB2ECB" w:rsidRPr="00F92655">
        <w:t xml:space="preserve"> el proceso de respiración y </w:t>
      </w:r>
      <w:r w:rsidR="005860BD" w:rsidRPr="00F92655">
        <w:t>metabolismo</w:t>
      </w:r>
      <w:r w:rsidR="003235A1" w:rsidRPr="00F92655">
        <w:t xml:space="preserve">, los cuales deben funcionar las 24 horas del día </w:t>
      </w:r>
      <w:r w:rsidR="00EB2ECB" w:rsidRPr="00F92655">
        <w:t xml:space="preserve">dependiendo de la </w:t>
      </w:r>
      <w:r w:rsidR="005860BD" w:rsidRPr="00F92655">
        <w:t>producción</w:t>
      </w:r>
      <w:r w:rsidR="00EB2ECB" w:rsidRPr="00F92655">
        <w:t xml:space="preserve">, </w:t>
      </w:r>
      <w:r w:rsidR="005860BD" w:rsidRPr="00F92655">
        <w:t xml:space="preserve">característica y </w:t>
      </w:r>
      <w:r w:rsidR="00EB2ECB" w:rsidRPr="00F92655">
        <w:t>condición</w:t>
      </w:r>
      <w:r w:rsidR="005860BD" w:rsidRPr="00F92655">
        <w:t xml:space="preserve"> del cultivo. </w:t>
      </w:r>
    </w:p>
    <w:p w:rsidR="00A32CD8" w:rsidRPr="00F92655" w:rsidRDefault="00A32CD8" w:rsidP="005860BD">
      <w:pPr>
        <w:spacing w:line="276" w:lineRule="auto"/>
      </w:pPr>
      <w:r>
        <w:t>Bajo los argumentos anteriormente planteados, es conveniente realizar, las reformas en ambas fracciones</w:t>
      </w:r>
      <w:r w:rsidR="00FC70DE">
        <w:t>.</w:t>
      </w:r>
      <w:bookmarkStart w:id="5" w:name="_GoBack"/>
      <w:bookmarkEnd w:id="5"/>
    </w:p>
    <w:p w:rsidR="005F03E3" w:rsidRDefault="006F7F5F" w:rsidP="00245EC5">
      <w:pPr>
        <w:spacing w:line="276" w:lineRule="auto"/>
      </w:pPr>
      <w:r w:rsidRPr="00C837E2">
        <w:rPr>
          <w:rFonts w:ascii="Bookman Old Style" w:hAnsi="Bookman Old Style"/>
          <w:b/>
          <w:smallCaps/>
          <w:spacing w:val="20"/>
          <w:szCs w:val="28"/>
        </w:rPr>
        <w:t>TERCERO</w:t>
      </w:r>
      <w:r>
        <w:rPr>
          <w:b/>
        </w:rPr>
        <w:t xml:space="preserve">. </w:t>
      </w:r>
      <w:r w:rsidR="00526006">
        <w:t>La Ley de Energía para e</w:t>
      </w:r>
      <w:r w:rsidR="00526006" w:rsidRPr="00ED4831">
        <w:t>l Campo</w:t>
      </w:r>
      <w:r w:rsidR="00543605">
        <w:t>, en su artículo 3° fracción I</w:t>
      </w:r>
      <w:r w:rsidR="00526006">
        <w:t xml:space="preserve"> considera </w:t>
      </w:r>
      <w:r w:rsidR="00543605">
        <w:t>a las actividades agropecuarias como</w:t>
      </w:r>
      <w:r w:rsidR="00526006">
        <w:t xml:space="preserve"> procesos productivos primarios, basados en recursos naturales renovables, los cuales son la agricultura, ganadería, silvicultura, acuacultura y pesca ribereña</w:t>
      </w:r>
      <w:r w:rsidR="00526006">
        <w:rPr>
          <w:rStyle w:val="Refdenotaalpie"/>
        </w:rPr>
        <w:footnoteReference w:id="2"/>
      </w:r>
      <w:r w:rsidR="00526006">
        <w:t xml:space="preserve">. </w:t>
      </w:r>
    </w:p>
    <w:p w:rsidR="005F03E3" w:rsidRPr="00543605" w:rsidRDefault="00C36F5F" w:rsidP="005F03E3">
      <w:pPr>
        <w:spacing w:line="276" w:lineRule="auto"/>
        <w:rPr>
          <w:rFonts w:cs="Arial"/>
        </w:rPr>
      </w:pPr>
      <w:r>
        <w:rPr>
          <w:rFonts w:cs="Arial"/>
        </w:rPr>
        <w:t>Se recomienda ponderar el alcance</w:t>
      </w:r>
      <w:r w:rsidR="005F03E3" w:rsidRPr="00543605">
        <w:rPr>
          <w:rFonts w:cs="Arial"/>
        </w:rPr>
        <w:t xml:space="preserve"> del término garantizar, </w:t>
      </w:r>
      <w:r>
        <w:rPr>
          <w:rFonts w:cs="Arial"/>
        </w:rPr>
        <w:t>pues</w:t>
      </w:r>
      <w:r w:rsidR="005F03E3" w:rsidRPr="00543605">
        <w:rPr>
          <w:rFonts w:cs="Arial"/>
        </w:rPr>
        <w:t xml:space="preserve"> el objetivo </w:t>
      </w:r>
      <w:r>
        <w:rPr>
          <w:rFonts w:cs="Arial"/>
        </w:rPr>
        <w:t xml:space="preserve">de la iniciativa </w:t>
      </w:r>
      <w:r w:rsidR="005F03E3" w:rsidRPr="00543605">
        <w:rPr>
          <w:rFonts w:cs="Arial"/>
        </w:rPr>
        <w:t>es otorgar a todos los productores que realizan actividades agropecuarias</w:t>
      </w:r>
      <w:r w:rsidR="00A42A00" w:rsidRPr="00543605">
        <w:rPr>
          <w:rFonts w:cs="Arial"/>
        </w:rPr>
        <w:t xml:space="preserve"> (agricultura, ganadería, silvicultura, acuacultura y pesca ribereña)</w:t>
      </w:r>
      <w:r w:rsidR="005F03E3" w:rsidRPr="00543605">
        <w:rPr>
          <w:rFonts w:cs="Arial"/>
        </w:rPr>
        <w:t>,</w:t>
      </w:r>
      <w:r>
        <w:rPr>
          <w:rFonts w:cs="Arial"/>
        </w:rPr>
        <w:t xml:space="preserve"> las mismas cuotas energéticas, lo cual ya está dispuesto en la ley vigente.</w:t>
      </w:r>
    </w:p>
    <w:p w:rsidR="00F66401" w:rsidRDefault="00526006" w:rsidP="00245EC5">
      <w:pPr>
        <w:spacing w:line="276" w:lineRule="auto"/>
      </w:pPr>
      <w:r w:rsidRPr="00526006">
        <w:rPr>
          <w:rFonts w:ascii="Bookman Old Style" w:hAnsi="Bookman Old Style"/>
          <w:b/>
          <w:smallCaps/>
          <w:spacing w:val="20"/>
          <w:szCs w:val="28"/>
        </w:rPr>
        <w:t>CUARTO.</w:t>
      </w:r>
      <w:r>
        <w:t xml:space="preserve"> </w:t>
      </w:r>
      <w:r w:rsidR="00245EC5" w:rsidRPr="00F92655">
        <w:t>En la exposició</w:t>
      </w:r>
      <w:r w:rsidR="00ED4831" w:rsidRPr="00F92655">
        <w:t>n de motivos</w:t>
      </w:r>
      <w:r w:rsidR="00F66401" w:rsidRPr="00F92655">
        <w:t>,</w:t>
      </w:r>
      <w:r w:rsidR="00E36600" w:rsidRPr="00F92655">
        <w:t xml:space="preserve"> </w:t>
      </w:r>
      <w:r w:rsidR="00ED4831" w:rsidRPr="00F92655">
        <w:t xml:space="preserve">se </w:t>
      </w:r>
      <w:r w:rsidR="00E36600" w:rsidRPr="00F92655">
        <w:t xml:space="preserve">menciona </w:t>
      </w:r>
      <w:r w:rsidR="00F66401" w:rsidRPr="00F92655">
        <w:t>la importancia de atender la exigencia de los productores acuícolas sobre los precios elevados en materia de energía eléctrica,</w:t>
      </w:r>
      <w:r w:rsidR="00ED4831" w:rsidRPr="00F92655">
        <w:t xml:space="preserve"> en comparación </w:t>
      </w:r>
      <w:r w:rsidR="007C497A" w:rsidRPr="00F92655">
        <w:t xml:space="preserve">con </w:t>
      </w:r>
      <w:r w:rsidR="00F66401" w:rsidRPr="00F92655">
        <w:t>lo que pagan los agricultores y ganaderos</w:t>
      </w:r>
      <w:r w:rsidR="00E41FF4">
        <w:rPr>
          <w:rStyle w:val="Refdenotaalpie"/>
        </w:rPr>
        <w:footnoteReference w:id="3"/>
      </w:r>
      <w:r w:rsidR="00F66401" w:rsidRPr="00F92655">
        <w:t xml:space="preserve">. </w:t>
      </w:r>
    </w:p>
    <w:p w:rsidR="00E41FF4" w:rsidRDefault="00E41FF4" w:rsidP="00245EC5">
      <w:pPr>
        <w:spacing w:line="276" w:lineRule="auto"/>
      </w:pPr>
      <w:r>
        <w:t>Las cuotas energéticas y subsidios otorgados a los productores del sector primario, se contemplan en el Reglamento de la Ley, las cuales establece el Ejecutivo Federal a través de la Secretaría.</w:t>
      </w:r>
    </w:p>
    <w:p w:rsidR="00E41FF4" w:rsidRPr="00F92655" w:rsidRDefault="00E41FF4" w:rsidP="00245EC5">
      <w:pPr>
        <w:spacing w:line="276" w:lineRule="auto"/>
      </w:pPr>
    </w:p>
    <w:p w:rsidR="00E04318" w:rsidRPr="00E04318" w:rsidRDefault="00E04318" w:rsidP="00E04318">
      <w:pPr>
        <w:spacing w:line="276" w:lineRule="auto"/>
        <w:jc w:val="center"/>
        <w:rPr>
          <w:b/>
          <w:sz w:val="20"/>
        </w:rPr>
      </w:pPr>
    </w:p>
    <w:p w:rsidR="006F4D23" w:rsidRDefault="006F4D23" w:rsidP="00390CD1">
      <w:pPr>
        <w:spacing w:line="276" w:lineRule="auto"/>
      </w:pPr>
    </w:p>
    <w:p w:rsidR="00C36F5F" w:rsidRDefault="00C36F5F" w:rsidP="00390CD1">
      <w:pPr>
        <w:spacing w:line="276" w:lineRule="auto"/>
      </w:pPr>
    </w:p>
    <w:p w:rsidR="00C36F5F" w:rsidRDefault="00C36F5F" w:rsidP="00390CD1">
      <w:pPr>
        <w:spacing w:line="276" w:lineRule="auto"/>
      </w:pPr>
    </w:p>
    <w:p w:rsidR="006F4D23" w:rsidRDefault="006F4D23" w:rsidP="00390CD1">
      <w:pPr>
        <w:spacing w:line="276" w:lineRule="auto"/>
      </w:pPr>
    </w:p>
    <w:p w:rsidR="006F4D23" w:rsidRDefault="006F4D23" w:rsidP="00390CD1">
      <w:pPr>
        <w:spacing w:line="276" w:lineRule="auto"/>
      </w:pPr>
    </w:p>
    <w:p w:rsidR="006F4D23" w:rsidRDefault="006F4D23" w:rsidP="00390CD1">
      <w:pPr>
        <w:spacing w:line="276" w:lineRule="auto"/>
      </w:pPr>
    </w:p>
    <w:p w:rsidR="00C879B1" w:rsidRPr="005D2C92" w:rsidRDefault="00C879B1" w:rsidP="00C879B1">
      <w:pPr>
        <w:spacing w:line="276" w:lineRule="auto"/>
        <w:rPr>
          <w:rFonts w:ascii="Bookman Old Style" w:hAnsi="Bookman Old Style"/>
          <w:b/>
          <w:smallCaps/>
          <w:spacing w:val="20"/>
          <w:szCs w:val="28"/>
        </w:rPr>
      </w:pPr>
      <w:r>
        <w:rPr>
          <w:rFonts w:ascii="Bookman Old Style" w:hAnsi="Bookman Old Style"/>
          <w:b/>
          <w:smallCaps/>
          <w:spacing w:val="20"/>
          <w:szCs w:val="28"/>
        </w:rPr>
        <w:t>V. Anexo</w:t>
      </w:r>
    </w:p>
    <w:p w:rsidR="00CF3002" w:rsidRPr="006F0D57" w:rsidRDefault="00CF3002" w:rsidP="00CF3002">
      <w:pPr>
        <w:rPr>
          <w:b/>
        </w:rPr>
      </w:pPr>
      <w:r w:rsidRPr="006F0D57">
        <w:rPr>
          <w:b/>
        </w:rPr>
        <w:t xml:space="preserve">Importancia de la electricidad </w:t>
      </w:r>
      <w:r w:rsidR="00B8710C" w:rsidRPr="006F0D57">
        <w:rPr>
          <w:b/>
        </w:rPr>
        <w:t>en la acuacultura</w:t>
      </w:r>
    </w:p>
    <w:p w:rsidR="00CF3002" w:rsidRDefault="00CF3002" w:rsidP="00CF3002">
      <w:r w:rsidRPr="006C46A0">
        <w:t>Los peces, así como el resto de los organismos acuáticos, respiran en el agua. Este hecho, que a veces es olvidado, resulta vital para su vida y desarrollo</w:t>
      </w:r>
      <w:r w:rsidR="006F0D57">
        <w:t>,</w:t>
      </w:r>
      <w:r w:rsidRPr="006C46A0">
        <w:t xml:space="preserve"> y puede determinar la salud, resistencia a enfermedades y los niveles de productividad de un cultivo acuícola.</w:t>
      </w:r>
      <w:r>
        <w:rPr>
          <w:rStyle w:val="Refdenotaalpie"/>
        </w:rPr>
        <w:footnoteReference w:id="4"/>
      </w:r>
      <w:r w:rsidRPr="006C46A0">
        <w:t xml:space="preserve"> </w:t>
      </w:r>
    </w:p>
    <w:p w:rsidR="00CF3002" w:rsidRDefault="00CF3002" w:rsidP="00CF3002">
      <w:r>
        <w:t>De manera natural</w:t>
      </w:r>
      <w:r w:rsidR="006F0D57">
        <w:t>,</w:t>
      </w:r>
      <w:r>
        <w:t xml:space="preserve"> la oxigenación se lleva a cabo mediante </w:t>
      </w:r>
      <w:r w:rsidRPr="006125E9">
        <w:t>absorción del oxígeno presente en el aire</w:t>
      </w:r>
      <w:r>
        <w:t xml:space="preserve"> desde la superficie del agua o mediante</w:t>
      </w:r>
      <w:r w:rsidRPr="006125E9">
        <w:t xml:space="preserve"> la fotosíntesis realizada por las plantas dur</w:t>
      </w:r>
      <w:r>
        <w:t>ante las horas de iluminación</w:t>
      </w:r>
      <w:r>
        <w:rPr>
          <w:rStyle w:val="Refdenotaalpie"/>
        </w:rPr>
        <w:footnoteReference w:id="5"/>
      </w:r>
      <w:r>
        <w:t>, sin embargo para la acuacultura en donde existe un mayor número de organismos en espacios reducidos dependen de otra entrada de oxígeno</w:t>
      </w:r>
      <w:r w:rsidR="006F0D57">
        <w:t>,</w:t>
      </w:r>
      <w:r>
        <w:t xml:space="preserve"> en la cual</w:t>
      </w:r>
      <w:r w:rsidR="006F0D57">
        <w:t>,</w:t>
      </w:r>
      <w:r>
        <w:t xml:space="preserve"> se utilizan bombas de energía eléctrica o diésel y</w:t>
      </w:r>
      <w:r w:rsidR="006F0D57">
        <w:t>,</w:t>
      </w:r>
      <w:r>
        <w:t xml:space="preserve"> su gasto en los costos de producción son del 15 al 20 % del total.</w:t>
      </w:r>
    </w:p>
    <w:p w:rsidR="00CF3002" w:rsidRPr="006F0D57" w:rsidRDefault="00CF3002" w:rsidP="006F0D57">
      <w:pPr>
        <w:spacing w:line="276" w:lineRule="auto"/>
        <w:rPr>
          <w:b/>
        </w:rPr>
      </w:pPr>
      <w:r w:rsidRPr="006F0D57">
        <w:rPr>
          <w:b/>
        </w:rPr>
        <w:t>Los efectos del oxígeno en el crecimiento de los peces</w:t>
      </w:r>
    </w:p>
    <w:p w:rsidR="00CF3002" w:rsidRDefault="00CF3002" w:rsidP="00CF3002">
      <w:r w:rsidRPr="006C46A0">
        <w:t xml:space="preserve">El oxígeno es un factor importante en el proceso de respiración y el metabolismo de los animales. En los peces, la tasa metabólica se ve muy afectada por la concentración de O2 en los ambientes de cultivo. A medida que disminuye la concentración de oxígeno disuelto, las actividades de respiración y alimentación también se ven disminuidas. Como resultado de ello, el índice de crecimiento se reduce, y se incrementan las posibilidades de enfermedades. </w:t>
      </w:r>
    </w:p>
    <w:p w:rsidR="00CF3002" w:rsidRDefault="00CF3002" w:rsidP="00CF3002">
      <w:r w:rsidRPr="006C46A0">
        <w:t>Los peces no son capaces de asimilar bien el alimento cuando el nivel de O2 disuelto es bajo. Las</w:t>
      </w:r>
      <w:r w:rsidR="006621CD">
        <w:t xml:space="preserve"> condiciones generales de salud</w:t>
      </w:r>
      <w:r w:rsidRPr="006C46A0">
        <w:t xml:space="preserve"> y las fisiológicas, son mejores s</w:t>
      </w:r>
      <w:r w:rsidR="006621CD">
        <w:t>í,</w:t>
      </w:r>
      <w:r w:rsidRPr="006C46A0">
        <w:t xml:space="preserve"> el oxígeno disuelto se mantiene cercano a la saturación. Cuando los niveles de O2 son menores, el creci</w:t>
      </w:r>
      <w:r w:rsidR="006621CD">
        <w:t xml:space="preserve">miento de los peces se verá </w:t>
      </w:r>
      <w:r w:rsidRPr="006C46A0">
        <w:t>afectado al incrementar el estrés, la hipoxia tisular, la disminución de actividades de nado y la reducción de la inmunidad frente a enfermedades, por lo que, de nuevo, es muy importante mantener el nivel de O2 disuelto en el nivel de saturación, para así poder garantizar altas producciones en cualquier centro de cultivo.</w:t>
      </w:r>
      <w:r>
        <w:rPr>
          <w:rStyle w:val="Refdenotaalpie"/>
        </w:rPr>
        <w:footnoteReference w:id="6"/>
      </w:r>
    </w:p>
    <w:p w:rsidR="00CF3002" w:rsidRPr="006621CD" w:rsidRDefault="00CF3002" w:rsidP="00CF3002">
      <w:pPr>
        <w:rPr>
          <w:lang w:eastAsia="es-MX"/>
        </w:rPr>
      </w:pPr>
      <w:r w:rsidRPr="006621CD">
        <w:rPr>
          <w:lang w:eastAsia="es-MX"/>
        </w:rPr>
        <w:t>Eficiencia de la aireación mecánica</w:t>
      </w:r>
    </w:p>
    <w:p w:rsidR="00CF3002" w:rsidRDefault="00CF3002" w:rsidP="00CF3002">
      <w:pPr>
        <w:rPr>
          <w:lang w:eastAsia="es-MX"/>
        </w:rPr>
      </w:pPr>
      <w:r w:rsidRPr="00B064F5">
        <w:rPr>
          <w:lang w:eastAsia="es-MX"/>
        </w:rPr>
        <w:t>Los aireadores mecánicos</w:t>
      </w:r>
      <w:r>
        <w:rPr>
          <w:lang w:eastAsia="es-MX"/>
        </w:rPr>
        <w:t xml:space="preserve"> se usan cada vez más en la acua</w:t>
      </w:r>
      <w:r w:rsidRPr="00B064F5">
        <w:rPr>
          <w:lang w:eastAsia="es-MX"/>
        </w:rPr>
        <w:t>cultura</w:t>
      </w:r>
      <w:r w:rsidR="006621CD">
        <w:rPr>
          <w:lang w:eastAsia="es-MX"/>
        </w:rPr>
        <w:t>,</w:t>
      </w:r>
      <w:r w:rsidRPr="00B064F5">
        <w:rPr>
          <w:lang w:eastAsia="es-MX"/>
        </w:rPr>
        <w:t xml:space="preserve"> porque la aireación puede aumentar en gran medida la cantidad de producción posible por unidad de área o volumen de agua. Estos dispositivos generalmente funcionan con electricidad, pero en algunos lugares, los motores diésel pequeños son la fuente de energía.</w:t>
      </w:r>
    </w:p>
    <w:p w:rsidR="00CF3002" w:rsidRDefault="006621CD" w:rsidP="00CF3002">
      <w:pPr>
        <w:rPr>
          <w:lang w:eastAsia="es-MX"/>
        </w:rPr>
      </w:pPr>
      <w:r>
        <w:rPr>
          <w:lang w:eastAsia="es-MX"/>
        </w:rPr>
        <w:lastRenderedPageBreak/>
        <w:t>En</w:t>
      </w:r>
      <w:r w:rsidR="00CF3002" w:rsidRPr="00B064F5">
        <w:rPr>
          <w:lang w:eastAsia="es-MX"/>
        </w:rPr>
        <w:t xml:space="preserve"> un área de cultivo de camarones en Tailandia, el </w:t>
      </w:r>
      <w:r w:rsidR="00CF3002">
        <w:rPr>
          <w:lang w:eastAsia="es-MX"/>
        </w:rPr>
        <w:t xml:space="preserve">Dr. </w:t>
      </w:r>
      <w:r w:rsidR="00CF3002" w:rsidRPr="00FE6C84">
        <w:t>Claude E. Boyd</w:t>
      </w:r>
      <w:r w:rsidR="00CF3002" w:rsidRPr="00B064F5">
        <w:rPr>
          <w:lang w:eastAsia="es-MX"/>
        </w:rPr>
        <w:t xml:space="preserve"> vio airear estanques a 24-36 hp / ha (18-27 kW / ha). Estos aireadores a menudo funcionan unas 20 horas diarias</w:t>
      </w:r>
      <w:r>
        <w:rPr>
          <w:lang w:eastAsia="es-MX"/>
        </w:rPr>
        <w:t>,</w:t>
      </w:r>
      <w:r w:rsidR="00CF3002" w:rsidRPr="00B064F5">
        <w:rPr>
          <w:lang w:eastAsia="es-MX"/>
        </w:rPr>
        <w:t xml:space="preserve"> durante un período de cultivo de 60 a 100 días. En una granja con 24 hp / ha de aireación y una cosecha de 100 días, se utilizarían alrededor de 36,000 kWhr de electricidad</w:t>
      </w:r>
      <w:r w:rsidR="00CF3002">
        <w:rPr>
          <w:lang w:eastAsia="es-MX"/>
        </w:rPr>
        <w:t xml:space="preserve"> para la aireación.</w:t>
      </w:r>
    </w:p>
    <w:p w:rsidR="00CF3002" w:rsidRDefault="00CF3002" w:rsidP="00CF3002">
      <w:pPr>
        <w:rPr>
          <w:lang w:eastAsia="es-MX"/>
        </w:rPr>
      </w:pPr>
      <w:r w:rsidRPr="00B064F5">
        <w:rPr>
          <w:lang w:eastAsia="es-MX"/>
        </w:rPr>
        <w:t>Se infor</w:t>
      </w:r>
      <w:r w:rsidR="006621CD">
        <w:rPr>
          <w:lang w:eastAsia="es-MX"/>
        </w:rPr>
        <w:t>mó que la producción de camarón</w:t>
      </w:r>
      <w:r w:rsidR="00523007">
        <w:rPr>
          <w:lang w:eastAsia="es-MX"/>
        </w:rPr>
        <w:t xml:space="preserve"> de 14 a 18 g fue </w:t>
      </w:r>
      <w:r w:rsidRPr="00B064F5">
        <w:rPr>
          <w:lang w:eastAsia="es-MX"/>
        </w:rPr>
        <w:t>de 7,000-9,000 kg / ha. La e</w:t>
      </w:r>
      <w:r w:rsidR="006621CD">
        <w:rPr>
          <w:lang w:eastAsia="es-MX"/>
        </w:rPr>
        <w:t>lectricidad cuesta alrededor de</w:t>
      </w:r>
      <w:r>
        <w:rPr>
          <w:lang w:eastAsia="es-MX"/>
        </w:rPr>
        <w:t xml:space="preserve"> $ </w:t>
      </w:r>
      <w:r w:rsidRPr="00FE6C84">
        <w:rPr>
          <w:lang w:eastAsia="es-MX"/>
        </w:rPr>
        <w:t>1.86</w:t>
      </w:r>
      <w:r>
        <w:rPr>
          <w:lang w:eastAsia="es-MX"/>
        </w:rPr>
        <w:t xml:space="preserve"> pesos</w:t>
      </w:r>
      <w:r w:rsidR="006621CD">
        <w:rPr>
          <w:lang w:eastAsia="es-MX"/>
        </w:rPr>
        <w:t xml:space="preserve"> mexicanos</w:t>
      </w:r>
      <w:r w:rsidRPr="00B064F5">
        <w:rPr>
          <w:lang w:eastAsia="es-MX"/>
        </w:rPr>
        <w:t xml:space="preserve">/ kWhr en Tailandia. Por lo tanto, la aireación cuesta $ </w:t>
      </w:r>
      <w:r w:rsidRPr="00FE6C84">
        <w:rPr>
          <w:lang w:eastAsia="es-MX"/>
        </w:rPr>
        <w:t>7.61</w:t>
      </w:r>
      <w:r>
        <w:rPr>
          <w:lang w:eastAsia="es-MX"/>
        </w:rPr>
        <w:t xml:space="preserve"> </w:t>
      </w:r>
      <w:r w:rsidRPr="00B064F5">
        <w:rPr>
          <w:lang w:eastAsia="es-MX"/>
        </w:rPr>
        <w:t xml:space="preserve">a $ </w:t>
      </w:r>
      <w:r w:rsidRPr="00FE6C84">
        <w:rPr>
          <w:lang w:eastAsia="es-MX"/>
        </w:rPr>
        <w:t>9.84</w:t>
      </w:r>
      <w:r w:rsidR="006621CD">
        <w:rPr>
          <w:lang w:eastAsia="es-MX"/>
        </w:rPr>
        <w:t>/ kg de camarón,</w:t>
      </w:r>
      <w:r w:rsidRPr="00B064F5">
        <w:rPr>
          <w:lang w:eastAsia="es-MX"/>
        </w:rPr>
        <w:t xml:space="preserve"> solo para electricidad. Los costos de aireación para la producción de pescado generalmente son más bajos que para los camarones, pero aún representan un gasto de producción importante.</w:t>
      </w:r>
      <w:r>
        <w:rPr>
          <w:rStyle w:val="Refdenotaalpie"/>
          <w:lang w:eastAsia="es-MX"/>
        </w:rPr>
        <w:footnoteReference w:id="7"/>
      </w:r>
    </w:p>
    <w:p w:rsidR="00CF3002" w:rsidRDefault="00CF3002" w:rsidP="00CF3002">
      <w:pPr>
        <w:rPr>
          <w:lang w:eastAsia="es-MX"/>
        </w:rPr>
      </w:pPr>
      <w:r w:rsidRPr="004B6D5F">
        <w:rPr>
          <w:lang w:eastAsia="es-MX"/>
        </w:rPr>
        <w:t xml:space="preserve">La aireación sigue siendo un área importante donde se pueden obtener eficiencias. Dado que los aireadores operan continuamente por largos períodos, es posible calcular el uso de electricidad simplemente usando la longitud total del cultivo y el número </w:t>
      </w:r>
      <w:r w:rsidR="006621CD">
        <w:rPr>
          <w:lang w:eastAsia="es-MX"/>
        </w:rPr>
        <w:t xml:space="preserve">promedio de kilovatios usados </w:t>
      </w:r>
      <w:r w:rsidRPr="004B6D5F">
        <w:rPr>
          <w:lang w:eastAsia="es-MX"/>
        </w:rPr>
        <w:t>por hectárea.</w:t>
      </w:r>
      <w:r>
        <w:rPr>
          <w:rStyle w:val="Refdenotaalpie"/>
          <w:lang w:eastAsia="es-MX"/>
        </w:rPr>
        <w:footnoteReference w:id="8"/>
      </w:r>
    </w:p>
    <w:p w:rsidR="00CF3002" w:rsidRPr="006621CD" w:rsidRDefault="00CF3002" w:rsidP="00CF3002">
      <w:pPr>
        <w:rPr>
          <w:b/>
          <w:lang w:eastAsia="es-MX"/>
        </w:rPr>
      </w:pPr>
      <w:r w:rsidRPr="006621CD">
        <w:rPr>
          <w:b/>
          <w:lang w:eastAsia="es-MX"/>
        </w:rPr>
        <w:t>Eficiencia energética en sistemas de bombeo en granjas acuícolas</w:t>
      </w:r>
    </w:p>
    <w:p w:rsidR="00CF3002" w:rsidRDefault="00CF3002" w:rsidP="00CF3002">
      <w:r w:rsidRPr="00A45E7D">
        <w:t xml:space="preserve">El sector del camarón enfrenta desafíos, incluyendo como ser más eficientes y competitivos, y cómo optimizar los recursos y reducir los costos de producción. En este contexto, la eficiencia energética (EI) en los sistemas de bombeo </w:t>
      </w:r>
      <w:r>
        <w:t xml:space="preserve">de cualquier granja camaronera </w:t>
      </w:r>
      <w:r w:rsidRPr="00A45E7D">
        <w:t>desempeña un papel estratégico con un alto impacto en la eficiencia operativa.</w:t>
      </w:r>
      <w:r>
        <w:t xml:space="preserve"> </w:t>
      </w:r>
      <w:r w:rsidRPr="00A45E7D">
        <w:t>En promedio, este insumo representa entre el 7 y el 15 por ciento del costo, según la eficiencia del equipo de bombeo y los niveles de productividad de las granjas acuícolas, según su modelo de producción específico.</w:t>
      </w:r>
    </w:p>
    <w:p w:rsidR="00CF3002" w:rsidRDefault="00CF3002" w:rsidP="00CF3002">
      <w:r w:rsidRPr="00A45E7D">
        <w:t>La energía es el producto de la potencia consumida (kilovatios o kW) durante un período determinado (horas). Es importante cuantificar la energía consumida, ya que es lo que paga un productor de camarón, sin importar si proviene de la electricidad o de la combustión del diésel.</w:t>
      </w:r>
      <w:r>
        <w:t xml:space="preserve"> En promedio en </w:t>
      </w:r>
      <w:r w:rsidRPr="00274686">
        <w:t>el proceso de producción de camarón requiere un reemplazo del 15 por ciento del volumen total de agua por día; y la granja puede bombear agua durante 16 horas, de acuerdo con el promedio histórico de mareas</w:t>
      </w:r>
      <w:r>
        <w:rPr>
          <w:rStyle w:val="Refdenotaalpie"/>
        </w:rPr>
        <w:footnoteReference w:id="9"/>
      </w:r>
      <w:r w:rsidR="00523007">
        <w:t>.</w:t>
      </w:r>
    </w:p>
    <w:p w:rsidR="00CF3002" w:rsidRDefault="00CF3002" w:rsidP="00CF3002">
      <w:r w:rsidRPr="00A45E7D">
        <w:t>La cuantificación del consumo de energía eléctrica es simple, ya que se registra mediante medidores convencionales que totalizan los kW-hora consumidos durante un período determinado, que se</w:t>
      </w:r>
      <w:r>
        <w:t xml:space="preserve"> multiplican por la tasa actual, el cual puede ser muy variable debido a la infraestructura, capacidad y técnica de cultivo empleada.</w:t>
      </w:r>
    </w:p>
    <w:p w:rsidR="00CF3002" w:rsidRDefault="00CF3002" w:rsidP="00CF3002">
      <w:r w:rsidRPr="009519DF">
        <w:lastRenderedPageBreak/>
        <w:t xml:space="preserve">La demanda de energía </w:t>
      </w:r>
      <w:r>
        <w:t xml:space="preserve">eléctrica </w:t>
      </w:r>
      <w:r w:rsidRPr="009519DF">
        <w:t>está relacionada con el transport</w:t>
      </w:r>
      <w:r>
        <w:t xml:space="preserve">e, manejo y mantenimiento de los peces y es </w:t>
      </w:r>
      <w:r w:rsidRPr="009519DF">
        <w:t xml:space="preserve">específica de cada </w:t>
      </w:r>
      <w:r>
        <w:t>situación</w:t>
      </w:r>
      <w:r w:rsidR="00523007">
        <w:t>,</w:t>
      </w:r>
      <w:r>
        <w:t xml:space="preserve"> esto</w:t>
      </w:r>
      <w:r w:rsidRPr="009519DF">
        <w:t xml:space="preserve"> depende en gran medida del tamaño de la granja, la construcción del </w:t>
      </w:r>
      <w:r>
        <w:t>estanque y el equipo utilizado, e</w:t>
      </w:r>
      <w:r w:rsidRPr="009519DF">
        <w:t>stos</w:t>
      </w:r>
      <w:r>
        <w:t xml:space="preserve"> son los </w:t>
      </w:r>
      <w:r w:rsidRPr="009519DF">
        <w:t>factores influyen en la demanda de energía mucho</w:t>
      </w:r>
      <w:r>
        <w:t xml:space="preserve"> más que la tecnología de producción aplicada.</w:t>
      </w:r>
    </w:p>
    <w:p w:rsidR="00CF3002" w:rsidRDefault="00CF3002" w:rsidP="00CF3002">
      <w:r>
        <w:t>Para la construcción de una granja acuícola de camarón blanco (</w:t>
      </w:r>
      <w:r w:rsidRPr="00523007">
        <w:rPr>
          <w:i/>
        </w:rPr>
        <w:t>Penaeus vannamei</w:t>
      </w:r>
      <w:r>
        <w:t>) y tilapia (</w:t>
      </w:r>
      <w:r w:rsidRPr="00523007">
        <w:rPr>
          <w:i/>
        </w:rPr>
        <w:t>Sarotherodum sp</w:t>
      </w:r>
      <w:r w:rsidR="00523007">
        <w:t xml:space="preserve">) </w:t>
      </w:r>
      <w:r>
        <w:t>en un terreno rectangular que cuenta con un área de 6,000 m</w:t>
      </w:r>
      <w:r w:rsidRPr="00523007">
        <w:rPr>
          <w:vertAlign w:val="superscript"/>
        </w:rPr>
        <w:t>2</w:t>
      </w:r>
      <w:r>
        <w:t xml:space="preserve"> (</w:t>
      </w:r>
      <w:r w:rsidR="00523007">
        <w:t>0.</w:t>
      </w:r>
      <w:r>
        <w:t>6 ha). Mide 100 mts de frente y 600 mts de fondo de este a oeste y el área a aprovechar para el proyecto será el 100% del terreno, el cual se ubica en el Km. 6.1 de la carretera Progreso-Chicxulub pueblo, Yucatán.</w:t>
      </w:r>
    </w:p>
    <w:p w:rsidR="00CF3002" w:rsidRDefault="00CF3002" w:rsidP="00CF3002">
      <w:r>
        <w:t>El proyecto de la granja presenta un sistema cerrado de flujo de agua que sería tratada</w:t>
      </w:r>
      <w:r w:rsidR="00523007">
        <w:t>,</w:t>
      </w:r>
      <w:r>
        <w:t xml:space="preserve"> a través de un biofiltro. El sistema cerrado se compone de ocho estanques cuadrados, cuatro de preengorda de 80 x 40 m y cuatro de engorda de 75 x 80 m, 1 cárcamo de bombeo con pozo artesiano de 80 l/seg, un dren biofiltro, un reservorio, un canal alimentador e instalaciones auxiliares. </w:t>
      </w:r>
      <w:r>
        <w:rPr>
          <w:rStyle w:val="Refdenotaalpie"/>
        </w:rPr>
        <w:footnoteReference w:id="10"/>
      </w:r>
    </w:p>
    <w:p w:rsidR="00CF3002" w:rsidRDefault="00CF3002" w:rsidP="00CF3002">
      <w:r>
        <w:t>Para estas instalaciones los eq</w:t>
      </w:r>
      <w:r w:rsidR="00523007">
        <w:t>uipos necesarios que necesitan e</w:t>
      </w:r>
      <w:r>
        <w:t xml:space="preserve">nergía </w:t>
      </w:r>
      <w:r w:rsidR="00523007">
        <w:t>e</w:t>
      </w:r>
      <w:r>
        <w:t>léctrica</w:t>
      </w:r>
      <w:r w:rsidR="00523007">
        <w:t xml:space="preserve"> son (Tabla 2):</w:t>
      </w:r>
    </w:p>
    <w:p w:rsidR="00523007" w:rsidRPr="00523007" w:rsidRDefault="00523007" w:rsidP="00523007">
      <w:pPr>
        <w:spacing w:line="276" w:lineRule="auto"/>
        <w:jc w:val="center"/>
        <w:rPr>
          <w:b/>
          <w:sz w:val="20"/>
        </w:rPr>
      </w:pPr>
      <w:r>
        <w:rPr>
          <w:b/>
          <w:sz w:val="20"/>
        </w:rPr>
        <w:t>Tabla 2</w:t>
      </w:r>
      <w:r w:rsidRPr="00E04318">
        <w:rPr>
          <w:b/>
          <w:sz w:val="20"/>
        </w:rPr>
        <w:t xml:space="preserve">. </w:t>
      </w:r>
      <w:r>
        <w:rPr>
          <w:b/>
          <w:sz w:val="20"/>
        </w:rPr>
        <w:t>Equipos que utilizan energía eléctrica para el correcto funcionamiento de una granja acuícola de camarón y tilapia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46"/>
        <w:gridCol w:w="1082"/>
      </w:tblGrid>
      <w:tr w:rsidR="00CF3002" w:rsidRPr="00523007" w:rsidTr="00523007">
        <w:trPr>
          <w:trHeight w:val="300"/>
          <w:tblHeader/>
        </w:trPr>
        <w:tc>
          <w:tcPr>
            <w:tcW w:w="0" w:type="auto"/>
            <w:shd w:val="clear" w:color="auto" w:fill="FBE4D5" w:themeFill="accent2" w:themeFillTint="33"/>
            <w:vAlign w:val="bottom"/>
            <w:hideMark/>
          </w:tcPr>
          <w:p w:rsidR="00CF3002" w:rsidRPr="00523007" w:rsidRDefault="00CF3002" w:rsidP="00523007">
            <w:pPr>
              <w:spacing w:after="0"/>
              <w:jc w:val="center"/>
              <w:rPr>
                <w:rFonts w:ascii="Arial Narrow" w:eastAsia="Times New Roman" w:hAnsi="Arial Narrow" w:cs="Times New Roman"/>
                <w:b/>
                <w:color w:val="000000"/>
                <w:sz w:val="22"/>
                <w:lang w:eastAsia="es-MX"/>
              </w:rPr>
            </w:pPr>
            <w:r w:rsidRPr="00523007">
              <w:rPr>
                <w:rFonts w:ascii="Arial Narrow" w:eastAsia="Times New Roman" w:hAnsi="Arial Narrow" w:cs="Times New Roman"/>
                <w:b/>
                <w:color w:val="000000"/>
                <w:sz w:val="22"/>
                <w:lang w:eastAsia="es-MX"/>
              </w:rPr>
              <w:t>CONCEPTO</w:t>
            </w:r>
          </w:p>
        </w:tc>
        <w:tc>
          <w:tcPr>
            <w:tcW w:w="0" w:type="auto"/>
            <w:shd w:val="clear" w:color="auto" w:fill="FBE4D5" w:themeFill="accent2" w:themeFillTint="33"/>
            <w:vAlign w:val="bottom"/>
            <w:hideMark/>
          </w:tcPr>
          <w:p w:rsidR="00CF3002" w:rsidRPr="00523007" w:rsidRDefault="00CF3002" w:rsidP="00523007">
            <w:pPr>
              <w:spacing w:after="0"/>
              <w:jc w:val="center"/>
              <w:rPr>
                <w:rFonts w:ascii="Arial Narrow" w:eastAsia="Times New Roman" w:hAnsi="Arial Narrow" w:cs="Times New Roman"/>
                <w:b/>
                <w:color w:val="000000"/>
                <w:sz w:val="22"/>
                <w:lang w:eastAsia="es-MX"/>
              </w:rPr>
            </w:pPr>
            <w:r w:rsidRPr="00523007">
              <w:rPr>
                <w:rFonts w:ascii="Arial Narrow" w:eastAsia="Times New Roman" w:hAnsi="Arial Narrow" w:cs="Times New Roman"/>
                <w:b/>
                <w:color w:val="000000"/>
                <w:sz w:val="22"/>
                <w:lang w:eastAsia="es-MX"/>
              </w:rPr>
              <w:t>CANTIDAD</w:t>
            </w:r>
          </w:p>
        </w:tc>
      </w:tr>
      <w:tr w:rsidR="00CF3002" w:rsidRPr="00523007" w:rsidTr="00523007">
        <w:trPr>
          <w:trHeight w:val="900"/>
        </w:trPr>
        <w:tc>
          <w:tcPr>
            <w:tcW w:w="0" w:type="auto"/>
            <w:shd w:val="clear" w:color="auto" w:fill="auto"/>
            <w:vAlign w:val="center"/>
            <w:hideMark/>
          </w:tcPr>
          <w:p w:rsidR="00CF3002" w:rsidRPr="00523007" w:rsidRDefault="00CF3002" w:rsidP="00523007">
            <w:pPr>
              <w:pStyle w:val="Prrafodelista"/>
              <w:numPr>
                <w:ilvl w:val="0"/>
                <w:numId w:val="3"/>
              </w:numPr>
              <w:spacing w:after="0"/>
              <w:jc w:val="left"/>
              <w:rPr>
                <w:rFonts w:ascii="Arial Narrow" w:eastAsia="Times New Roman" w:hAnsi="Arial Narrow" w:cs="Times New Roman"/>
                <w:color w:val="000000"/>
                <w:sz w:val="22"/>
                <w:lang w:eastAsia="es-MX"/>
              </w:rPr>
            </w:pPr>
            <w:r w:rsidRPr="00523007">
              <w:rPr>
                <w:rFonts w:ascii="Arial Narrow" w:eastAsia="Times New Roman" w:hAnsi="Arial Narrow" w:cs="Times New Roman"/>
                <w:color w:val="000000"/>
                <w:sz w:val="22"/>
                <w:lang w:eastAsia="es-MX"/>
              </w:rPr>
              <w:t xml:space="preserve">Pozo de suministro de agua a estanques de 20 m de profundidad, 10” de diámetro ademado a 8” con tubo de pvc. </w:t>
            </w:r>
          </w:p>
        </w:tc>
        <w:tc>
          <w:tcPr>
            <w:tcW w:w="0" w:type="auto"/>
            <w:shd w:val="clear" w:color="auto" w:fill="auto"/>
            <w:vAlign w:val="center"/>
            <w:hideMark/>
          </w:tcPr>
          <w:p w:rsidR="00CF3002" w:rsidRPr="00523007" w:rsidRDefault="00CF3002" w:rsidP="00523007">
            <w:pPr>
              <w:spacing w:after="0"/>
              <w:jc w:val="center"/>
              <w:rPr>
                <w:rFonts w:ascii="Arial Narrow" w:eastAsia="Times New Roman" w:hAnsi="Arial Narrow" w:cs="Times New Roman"/>
                <w:b/>
                <w:color w:val="000000"/>
                <w:sz w:val="22"/>
                <w:lang w:eastAsia="es-MX"/>
              </w:rPr>
            </w:pPr>
            <w:r w:rsidRPr="00523007">
              <w:rPr>
                <w:rFonts w:ascii="Arial Narrow" w:eastAsia="Times New Roman" w:hAnsi="Arial Narrow" w:cs="Times New Roman"/>
                <w:b/>
                <w:color w:val="000000"/>
                <w:sz w:val="22"/>
                <w:lang w:eastAsia="es-MX"/>
              </w:rPr>
              <w:t>2</w:t>
            </w:r>
          </w:p>
        </w:tc>
      </w:tr>
      <w:tr w:rsidR="00CF3002" w:rsidRPr="00523007" w:rsidTr="002E2241">
        <w:trPr>
          <w:trHeight w:val="529"/>
        </w:trPr>
        <w:tc>
          <w:tcPr>
            <w:tcW w:w="0" w:type="auto"/>
            <w:shd w:val="clear" w:color="000000" w:fill="FFE699"/>
            <w:vAlign w:val="center"/>
            <w:hideMark/>
          </w:tcPr>
          <w:p w:rsidR="00CF3002" w:rsidRPr="00523007" w:rsidRDefault="00CF3002" w:rsidP="00523007">
            <w:pPr>
              <w:pStyle w:val="Prrafodelista"/>
              <w:numPr>
                <w:ilvl w:val="0"/>
                <w:numId w:val="3"/>
              </w:numPr>
              <w:spacing w:after="0"/>
              <w:jc w:val="left"/>
              <w:rPr>
                <w:rFonts w:ascii="Arial Narrow" w:eastAsia="Times New Roman" w:hAnsi="Arial Narrow" w:cs="Times New Roman"/>
                <w:color w:val="000000"/>
                <w:sz w:val="22"/>
                <w:lang w:eastAsia="es-MX"/>
              </w:rPr>
            </w:pPr>
            <w:r w:rsidRPr="00523007">
              <w:rPr>
                <w:rFonts w:ascii="Arial Narrow" w:eastAsia="Times New Roman" w:hAnsi="Arial Narrow" w:cs="Times New Roman"/>
                <w:color w:val="000000"/>
                <w:sz w:val="22"/>
                <w:lang w:eastAsia="es-MX"/>
              </w:rPr>
              <w:t>Bomba para pozo eléctrica 3 fases, 440 volts, 60 hz, 80lts/seg, de 25 hp, con equipo auxiliar, tubería y conexiones</w:t>
            </w:r>
          </w:p>
        </w:tc>
        <w:tc>
          <w:tcPr>
            <w:tcW w:w="0" w:type="auto"/>
            <w:shd w:val="clear" w:color="000000" w:fill="FFE699"/>
            <w:vAlign w:val="center"/>
            <w:hideMark/>
          </w:tcPr>
          <w:p w:rsidR="00CF3002" w:rsidRPr="00523007" w:rsidRDefault="00CF3002" w:rsidP="00523007">
            <w:pPr>
              <w:spacing w:after="0"/>
              <w:jc w:val="center"/>
              <w:rPr>
                <w:rFonts w:ascii="Arial Narrow" w:eastAsia="Times New Roman" w:hAnsi="Arial Narrow" w:cs="Times New Roman"/>
                <w:b/>
                <w:color w:val="000000"/>
                <w:sz w:val="22"/>
                <w:lang w:eastAsia="es-MX"/>
              </w:rPr>
            </w:pPr>
            <w:r w:rsidRPr="00523007">
              <w:rPr>
                <w:rFonts w:ascii="Arial Narrow" w:eastAsia="Times New Roman" w:hAnsi="Arial Narrow" w:cs="Times New Roman"/>
                <w:b/>
                <w:color w:val="000000"/>
                <w:sz w:val="22"/>
                <w:lang w:eastAsia="es-MX"/>
              </w:rPr>
              <w:t>2</w:t>
            </w:r>
          </w:p>
        </w:tc>
      </w:tr>
      <w:tr w:rsidR="00CF3002" w:rsidRPr="00523007" w:rsidTr="002E2241">
        <w:trPr>
          <w:trHeight w:val="409"/>
        </w:trPr>
        <w:tc>
          <w:tcPr>
            <w:tcW w:w="0" w:type="auto"/>
            <w:shd w:val="clear" w:color="000000" w:fill="FFE699"/>
            <w:vAlign w:val="center"/>
            <w:hideMark/>
          </w:tcPr>
          <w:p w:rsidR="00CF3002" w:rsidRPr="00523007" w:rsidRDefault="00CF3002" w:rsidP="00523007">
            <w:pPr>
              <w:pStyle w:val="Prrafodelista"/>
              <w:numPr>
                <w:ilvl w:val="0"/>
                <w:numId w:val="3"/>
              </w:numPr>
              <w:spacing w:after="0"/>
              <w:jc w:val="left"/>
              <w:rPr>
                <w:rFonts w:ascii="Arial Narrow" w:eastAsia="Times New Roman" w:hAnsi="Arial Narrow" w:cs="Times New Roman"/>
                <w:color w:val="000000"/>
                <w:sz w:val="22"/>
                <w:lang w:eastAsia="es-MX"/>
              </w:rPr>
            </w:pPr>
            <w:r w:rsidRPr="00523007">
              <w:rPr>
                <w:rFonts w:ascii="Arial Narrow" w:eastAsia="Times New Roman" w:hAnsi="Arial Narrow" w:cs="Times New Roman"/>
                <w:color w:val="000000"/>
                <w:sz w:val="22"/>
                <w:lang w:eastAsia="es-MX"/>
              </w:rPr>
              <w:t>Bomba auxiliar eléctrica 3 fases, 440 volts, 60 hz, de 15 hp 60 lts/seg</w:t>
            </w:r>
          </w:p>
        </w:tc>
        <w:tc>
          <w:tcPr>
            <w:tcW w:w="0" w:type="auto"/>
            <w:shd w:val="clear" w:color="000000" w:fill="FFE699"/>
            <w:vAlign w:val="center"/>
            <w:hideMark/>
          </w:tcPr>
          <w:p w:rsidR="00CF3002" w:rsidRPr="00523007" w:rsidRDefault="00CF3002" w:rsidP="00523007">
            <w:pPr>
              <w:spacing w:after="0"/>
              <w:jc w:val="center"/>
              <w:rPr>
                <w:rFonts w:ascii="Arial Narrow" w:eastAsia="Times New Roman" w:hAnsi="Arial Narrow" w:cs="Times New Roman"/>
                <w:b/>
                <w:color w:val="000000"/>
                <w:sz w:val="22"/>
                <w:lang w:eastAsia="es-MX"/>
              </w:rPr>
            </w:pPr>
            <w:r w:rsidRPr="00523007">
              <w:rPr>
                <w:rFonts w:ascii="Arial Narrow" w:eastAsia="Times New Roman" w:hAnsi="Arial Narrow" w:cs="Times New Roman"/>
                <w:b/>
                <w:color w:val="000000"/>
                <w:sz w:val="22"/>
                <w:lang w:eastAsia="es-MX"/>
              </w:rPr>
              <w:t>1</w:t>
            </w:r>
          </w:p>
        </w:tc>
      </w:tr>
      <w:tr w:rsidR="00CF3002" w:rsidRPr="00523007" w:rsidTr="002E2241">
        <w:trPr>
          <w:trHeight w:val="699"/>
        </w:trPr>
        <w:tc>
          <w:tcPr>
            <w:tcW w:w="0" w:type="auto"/>
            <w:shd w:val="clear" w:color="auto" w:fill="auto"/>
            <w:vAlign w:val="center"/>
            <w:hideMark/>
          </w:tcPr>
          <w:p w:rsidR="00CF3002" w:rsidRPr="00523007" w:rsidRDefault="00CF3002" w:rsidP="00523007">
            <w:pPr>
              <w:pStyle w:val="Prrafodelista"/>
              <w:numPr>
                <w:ilvl w:val="0"/>
                <w:numId w:val="3"/>
              </w:numPr>
              <w:spacing w:after="0"/>
              <w:jc w:val="left"/>
              <w:rPr>
                <w:rFonts w:ascii="Arial Narrow" w:eastAsia="Times New Roman" w:hAnsi="Arial Narrow" w:cs="Times New Roman"/>
                <w:color w:val="000000"/>
                <w:sz w:val="22"/>
                <w:lang w:eastAsia="es-MX"/>
              </w:rPr>
            </w:pPr>
            <w:r w:rsidRPr="00523007">
              <w:rPr>
                <w:rFonts w:ascii="Arial Narrow" w:eastAsia="Times New Roman" w:hAnsi="Arial Narrow" w:cs="Times New Roman"/>
                <w:color w:val="000000"/>
                <w:sz w:val="22"/>
                <w:lang w:eastAsia="es-MX"/>
              </w:rPr>
              <w:t>Pozo de absorción de agua residual tratada de 18 m de profundidad, 10” de diámetro ademado a 8” con tubo de pvc</w:t>
            </w:r>
          </w:p>
        </w:tc>
        <w:tc>
          <w:tcPr>
            <w:tcW w:w="0" w:type="auto"/>
            <w:shd w:val="clear" w:color="auto" w:fill="auto"/>
            <w:vAlign w:val="center"/>
            <w:hideMark/>
          </w:tcPr>
          <w:p w:rsidR="00CF3002" w:rsidRPr="00523007" w:rsidRDefault="00CF3002" w:rsidP="00523007">
            <w:pPr>
              <w:spacing w:after="0"/>
              <w:jc w:val="center"/>
              <w:rPr>
                <w:rFonts w:ascii="Arial Narrow" w:eastAsia="Times New Roman" w:hAnsi="Arial Narrow" w:cs="Times New Roman"/>
                <w:b/>
                <w:color w:val="000000"/>
                <w:sz w:val="22"/>
                <w:lang w:eastAsia="es-MX"/>
              </w:rPr>
            </w:pPr>
            <w:r w:rsidRPr="00523007">
              <w:rPr>
                <w:rFonts w:ascii="Arial Narrow" w:eastAsia="Times New Roman" w:hAnsi="Arial Narrow" w:cs="Times New Roman"/>
                <w:b/>
                <w:color w:val="000000"/>
                <w:sz w:val="22"/>
                <w:lang w:eastAsia="es-MX"/>
              </w:rPr>
              <w:t>1</w:t>
            </w:r>
          </w:p>
        </w:tc>
      </w:tr>
      <w:tr w:rsidR="00CF3002" w:rsidRPr="00523007" w:rsidTr="00523007">
        <w:trPr>
          <w:trHeight w:val="300"/>
        </w:trPr>
        <w:tc>
          <w:tcPr>
            <w:tcW w:w="0" w:type="auto"/>
            <w:shd w:val="clear" w:color="000000" w:fill="FFE699"/>
            <w:vAlign w:val="center"/>
            <w:hideMark/>
          </w:tcPr>
          <w:p w:rsidR="00CF3002" w:rsidRPr="00523007" w:rsidRDefault="00CF3002" w:rsidP="00523007">
            <w:pPr>
              <w:pStyle w:val="Prrafodelista"/>
              <w:numPr>
                <w:ilvl w:val="0"/>
                <w:numId w:val="3"/>
              </w:numPr>
              <w:spacing w:after="0"/>
              <w:jc w:val="left"/>
              <w:rPr>
                <w:rFonts w:ascii="Arial Narrow" w:eastAsia="Times New Roman" w:hAnsi="Arial Narrow" w:cs="Times New Roman"/>
                <w:color w:val="000000"/>
                <w:sz w:val="22"/>
                <w:lang w:eastAsia="es-MX"/>
              </w:rPr>
            </w:pPr>
            <w:r w:rsidRPr="00523007">
              <w:rPr>
                <w:rFonts w:ascii="Arial Narrow" w:eastAsia="Times New Roman" w:hAnsi="Arial Narrow" w:cs="Times New Roman"/>
                <w:color w:val="000000"/>
                <w:sz w:val="22"/>
                <w:lang w:eastAsia="es-MX"/>
              </w:rPr>
              <w:t>Aireadores eléctricos, trifásicos de 2 hp</w:t>
            </w:r>
          </w:p>
        </w:tc>
        <w:tc>
          <w:tcPr>
            <w:tcW w:w="0" w:type="auto"/>
            <w:shd w:val="clear" w:color="000000" w:fill="FFE699"/>
            <w:vAlign w:val="center"/>
            <w:hideMark/>
          </w:tcPr>
          <w:p w:rsidR="00CF3002" w:rsidRPr="00523007" w:rsidRDefault="00CF3002" w:rsidP="00523007">
            <w:pPr>
              <w:spacing w:after="0"/>
              <w:jc w:val="center"/>
              <w:rPr>
                <w:rFonts w:ascii="Arial Narrow" w:eastAsia="Times New Roman" w:hAnsi="Arial Narrow" w:cs="Times New Roman"/>
                <w:b/>
                <w:color w:val="000000"/>
                <w:sz w:val="22"/>
                <w:lang w:eastAsia="es-MX"/>
              </w:rPr>
            </w:pPr>
            <w:r w:rsidRPr="00523007">
              <w:rPr>
                <w:rFonts w:ascii="Arial Narrow" w:eastAsia="Times New Roman" w:hAnsi="Arial Narrow" w:cs="Times New Roman"/>
                <w:b/>
                <w:color w:val="000000"/>
                <w:sz w:val="22"/>
                <w:lang w:eastAsia="es-MX"/>
              </w:rPr>
              <w:t>136</w:t>
            </w:r>
          </w:p>
        </w:tc>
      </w:tr>
      <w:tr w:rsidR="00CF3002" w:rsidRPr="00523007" w:rsidTr="00523007">
        <w:trPr>
          <w:trHeight w:val="300"/>
        </w:trPr>
        <w:tc>
          <w:tcPr>
            <w:tcW w:w="0" w:type="auto"/>
            <w:shd w:val="clear" w:color="auto" w:fill="auto"/>
            <w:vAlign w:val="center"/>
            <w:hideMark/>
          </w:tcPr>
          <w:p w:rsidR="00CF3002" w:rsidRPr="00523007" w:rsidRDefault="00CF3002" w:rsidP="00523007">
            <w:pPr>
              <w:pStyle w:val="Prrafodelista"/>
              <w:numPr>
                <w:ilvl w:val="0"/>
                <w:numId w:val="3"/>
              </w:numPr>
              <w:spacing w:after="0"/>
              <w:jc w:val="left"/>
              <w:rPr>
                <w:rFonts w:ascii="Arial Narrow" w:eastAsia="Times New Roman" w:hAnsi="Arial Narrow" w:cs="Times New Roman"/>
                <w:color w:val="000000"/>
                <w:sz w:val="22"/>
                <w:lang w:eastAsia="es-MX"/>
              </w:rPr>
            </w:pPr>
            <w:r w:rsidRPr="00523007">
              <w:rPr>
                <w:rFonts w:ascii="Arial Narrow" w:eastAsia="Times New Roman" w:hAnsi="Arial Narrow" w:cs="Times New Roman"/>
                <w:color w:val="000000"/>
                <w:sz w:val="22"/>
                <w:lang w:eastAsia="es-MX"/>
              </w:rPr>
              <w:t>Bomba de gasolina de 15 hp, de 4”, con instalaciones</w:t>
            </w:r>
          </w:p>
        </w:tc>
        <w:tc>
          <w:tcPr>
            <w:tcW w:w="0" w:type="auto"/>
            <w:shd w:val="clear" w:color="auto" w:fill="auto"/>
            <w:vAlign w:val="center"/>
            <w:hideMark/>
          </w:tcPr>
          <w:p w:rsidR="00CF3002" w:rsidRPr="00523007" w:rsidRDefault="00CF3002" w:rsidP="00523007">
            <w:pPr>
              <w:spacing w:after="0"/>
              <w:jc w:val="center"/>
              <w:rPr>
                <w:rFonts w:ascii="Arial Narrow" w:eastAsia="Times New Roman" w:hAnsi="Arial Narrow" w:cs="Times New Roman"/>
                <w:b/>
                <w:color w:val="000000"/>
                <w:sz w:val="22"/>
                <w:lang w:eastAsia="es-MX"/>
              </w:rPr>
            </w:pPr>
            <w:r w:rsidRPr="00523007">
              <w:rPr>
                <w:rFonts w:ascii="Arial Narrow" w:eastAsia="Times New Roman" w:hAnsi="Arial Narrow" w:cs="Times New Roman"/>
                <w:b/>
                <w:color w:val="000000"/>
                <w:sz w:val="22"/>
                <w:lang w:eastAsia="es-MX"/>
              </w:rPr>
              <w:t>1</w:t>
            </w:r>
          </w:p>
        </w:tc>
      </w:tr>
      <w:tr w:rsidR="00CF3002" w:rsidRPr="00523007" w:rsidTr="00523007">
        <w:trPr>
          <w:trHeight w:val="300"/>
        </w:trPr>
        <w:tc>
          <w:tcPr>
            <w:tcW w:w="0" w:type="auto"/>
            <w:shd w:val="clear" w:color="000000" w:fill="FFE699"/>
            <w:vAlign w:val="center"/>
            <w:hideMark/>
          </w:tcPr>
          <w:p w:rsidR="00CF3002" w:rsidRPr="00523007" w:rsidRDefault="00CF3002" w:rsidP="00523007">
            <w:pPr>
              <w:pStyle w:val="Prrafodelista"/>
              <w:numPr>
                <w:ilvl w:val="0"/>
                <w:numId w:val="3"/>
              </w:numPr>
              <w:spacing w:after="0"/>
              <w:jc w:val="left"/>
              <w:rPr>
                <w:rFonts w:ascii="Arial Narrow" w:eastAsia="Times New Roman" w:hAnsi="Arial Narrow" w:cs="Times New Roman"/>
                <w:color w:val="000000"/>
                <w:sz w:val="22"/>
                <w:lang w:eastAsia="es-MX"/>
              </w:rPr>
            </w:pPr>
            <w:r w:rsidRPr="00523007">
              <w:rPr>
                <w:rFonts w:ascii="Arial Narrow" w:eastAsia="Times New Roman" w:hAnsi="Arial Narrow" w:cs="Times New Roman"/>
                <w:color w:val="000000"/>
                <w:sz w:val="22"/>
                <w:lang w:eastAsia="es-MX"/>
              </w:rPr>
              <w:t>Blowers de 7.5 hp</w:t>
            </w:r>
          </w:p>
        </w:tc>
        <w:tc>
          <w:tcPr>
            <w:tcW w:w="0" w:type="auto"/>
            <w:shd w:val="clear" w:color="000000" w:fill="FFE699"/>
            <w:vAlign w:val="center"/>
            <w:hideMark/>
          </w:tcPr>
          <w:p w:rsidR="00CF3002" w:rsidRPr="00523007" w:rsidRDefault="00CF3002" w:rsidP="00523007">
            <w:pPr>
              <w:spacing w:after="0"/>
              <w:jc w:val="center"/>
              <w:rPr>
                <w:rFonts w:ascii="Arial Narrow" w:eastAsia="Times New Roman" w:hAnsi="Arial Narrow" w:cs="Times New Roman"/>
                <w:b/>
                <w:color w:val="000000"/>
                <w:sz w:val="22"/>
                <w:lang w:eastAsia="es-MX"/>
              </w:rPr>
            </w:pPr>
            <w:r w:rsidRPr="00523007">
              <w:rPr>
                <w:rFonts w:ascii="Arial Narrow" w:eastAsia="Times New Roman" w:hAnsi="Arial Narrow" w:cs="Times New Roman"/>
                <w:b/>
                <w:color w:val="000000"/>
                <w:sz w:val="22"/>
                <w:lang w:eastAsia="es-MX"/>
              </w:rPr>
              <w:t>5</w:t>
            </w:r>
          </w:p>
        </w:tc>
      </w:tr>
      <w:tr w:rsidR="00CF3002" w:rsidRPr="00523007" w:rsidTr="00523007">
        <w:trPr>
          <w:trHeight w:val="300"/>
        </w:trPr>
        <w:tc>
          <w:tcPr>
            <w:tcW w:w="0" w:type="auto"/>
            <w:shd w:val="clear" w:color="auto" w:fill="auto"/>
            <w:vAlign w:val="center"/>
            <w:hideMark/>
          </w:tcPr>
          <w:p w:rsidR="00CF3002" w:rsidRPr="00523007" w:rsidRDefault="00CF3002" w:rsidP="00523007">
            <w:pPr>
              <w:pStyle w:val="Prrafodelista"/>
              <w:numPr>
                <w:ilvl w:val="0"/>
                <w:numId w:val="3"/>
              </w:numPr>
              <w:spacing w:after="0"/>
              <w:jc w:val="left"/>
              <w:rPr>
                <w:rFonts w:ascii="Arial Narrow" w:eastAsia="Times New Roman" w:hAnsi="Arial Narrow" w:cs="Times New Roman"/>
                <w:color w:val="000000"/>
                <w:sz w:val="22"/>
                <w:lang w:eastAsia="es-MX"/>
              </w:rPr>
            </w:pPr>
            <w:r w:rsidRPr="00523007">
              <w:rPr>
                <w:rFonts w:ascii="Arial Narrow" w:eastAsia="Times New Roman" w:hAnsi="Arial Narrow" w:cs="Times New Roman"/>
                <w:color w:val="000000"/>
                <w:sz w:val="22"/>
                <w:lang w:eastAsia="es-MX"/>
              </w:rPr>
              <w:t>Difusores de aireación de 2“, de 50 cm.</w:t>
            </w:r>
          </w:p>
        </w:tc>
        <w:tc>
          <w:tcPr>
            <w:tcW w:w="0" w:type="auto"/>
            <w:shd w:val="clear" w:color="auto" w:fill="auto"/>
            <w:vAlign w:val="center"/>
            <w:hideMark/>
          </w:tcPr>
          <w:p w:rsidR="00CF3002" w:rsidRPr="00523007" w:rsidRDefault="00CF3002" w:rsidP="00523007">
            <w:pPr>
              <w:spacing w:after="0"/>
              <w:jc w:val="center"/>
              <w:rPr>
                <w:rFonts w:ascii="Arial Narrow" w:eastAsia="Times New Roman" w:hAnsi="Arial Narrow" w:cs="Times New Roman"/>
                <w:b/>
                <w:color w:val="000000"/>
                <w:sz w:val="22"/>
                <w:lang w:eastAsia="es-MX"/>
              </w:rPr>
            </w:pPr>
            <w:r w:rsidRPr="00523007">
              <w:rPr>
                <w:rFonts w:ascii="Arial Narrow" w:eastAsia="Times New Roman" w:hAnsi="Arial Narrow" w:cs="Times New Roman"/>
                <w:b/>
                <w:color w:val="000000"/>
                <w:sz w:val="22"/>
                <w:lang w:eastAsia="es-MX"/>
              </w:rPr>
              <w:t>60</w:t>
            </w:r>
          </w:p>
        </w:tc>
      </w:tr>
      <w:tr w:rsidR="00CF3002" w:rsidRPr="00523007" w:rsidTr="00523007">
        <w:trPr>
          <w:trHeight w:val="300"/>
        </w:trPr>
        <w:tc>
          <w:tcPr>
            <w:tcW w:w="0" w:type="auto"/>
            <w:shd w:val="clear" w:color="000000" w:fill="FFE699"/>
            <w:vAlign w:val="center"/>
            <w:hideMark/>
          </w:tcPr>
          <w:p w:rsidR="00CF3002" w:rsidRPr="00523007" w:rsidRDefault="00CF3002" w:rsidP="00523007">
            <w:pPr>
              <w:pStyle w:val="Prrafodelista"/>
              <w:numPr>
                <w:ilvl w:val="0"/>
                <w:numId w:val="3"/>
              </w:numPr>
              <w:spacing w:after="0"/>
              <w:jc w:val="left"/>
              <w:rPr>
                <w:rFonts w:ascii="Arial Narrow" w:eastAsia="Times New Roman" w:hAnsi="Arial Narrow" w:cs="Times New Roman"/>
                <w:color w:val="000000"/>
                <w:sz w:val="22"/>
                <w:lang w:eastAsia="es-MX"/>
              </w:rPr>
            </w:pPr>
            <w:r w:rsidRPr="00523007">
              <w:rPr>
                <w:rFonts w:ascii="Arial Narrow" w:eastAsia="Times New Roman" w:hAnsi="Arial Narrow" w:cs="Times New Roman"/>
                <w:color w:val="000000"/>
                <w:sz w:val="22"/>
                <w:lang w:eastAsia="es-MX"/>
              </w:rPr>
              <w:t>Arrancadores para motor</w:t>
            </w:r>
          </w:p>
        </w:tc>
        <w:tc>
          <w:tcPr>
            <w:tcW w:w="0" w:type="auto"/>
            <w:shd w:val="clear" w:color="000000" w:fill="FFE699"/>
            <w:vAlign w:val="center"/>
            <w:hideMark/>
          </w:tcPr>
          <w:p w:rsidR="00CF3002" w:rsidRPr="00523007" w:rsidRDefault="00CF3002" w:rsidP="00523007">
            <w:pPr>
              <w:spacing w:after="0"/>
              <w:jc w:val="center"/>
              <w:rPr>
                <w:rFonts w:ascii="Arial Narrow" w:eastAsia="Times New Roman" w:hAnsi="Arial Narrow" w:cs="Times New Roman"/>
                <w:b/>
                <w:color w:val="000000"/>
                <w:sz w:val="22"/>
                <w:lang w:eastAsia="es-MX"/>
              </w:rPr>
            </w:pPr>
            <w:r w:rsidRPr="00523007">
              <w:rPr>
                <w:rFonts w:ascii="Arial Narrow" w:eastAsia="Times New Roman" w:hAnsi="Arial Narrow" w:cs="Times New Roman"/>
                <w:b/>
                <w:color w:val="000000"/>
                <w:sz w:val="22"/>
                <w:lang w:eastAsia="es-MX"/>
              </w:rPr>
              <w:t>139</w:t>
            </w:r>
          </w:p>
        </w:tc>
      </w:tr>
      <w:tr w:rsidR="00CF3002" w:rsidRPr="00523007" w:rsidTr="00523007">
        <w:trPr>
          <w:trHeight w:val="300"/>
        </w:trPr>
        <w:tc>
          <w:tcPr>
            <w:tcW w:w="0" w:type="auto"/>
            <w:shd w:val="clear" w:color="auto" w:fill="auto"/>
            <w:vAlign w:val="center"/>
            <w:hideMark/>
          </w:tcPr>
          <w:p w:rsidR="00CF3002" w:rsidRPr="00523007" w:rsidRDefault="00CF3002" w:rsidP="00523007">
            <w:pPr>
              <w:pStyle w:val="Prrafodelista"/>
              <w:numPr>
                <w:ilvl w:val="0"/>
                <w:numId w:val="3"/>
              </w:numPr>
              <w:spacing w:after="0"/>
              <w:jc w:val="left"/>
              <w:rPr>
                <w:rFonts w:ascii="Arial Narrow" w:eastAsia="Times New Roman" w:hAnsi="Arial Narrow" w:cs="Times New Roman"/>
                <w:color w:val="000000"/>
                <w:sz w:val="22"/>
                <w:lang w:eastAsia="es-MX"/>
              </w:rPr>
            </w:pPr>
            <w:r w:rsidRPr="00523007">
              <w:rPr>
                <w:rFonts w:ascii="Arial Narrow" w:eastAsia="Times New Roman" w:hAnsi="Arial Narrow" w:cs="Times New Roman"/>
                <w:color w:val="000000"/>
                <w:sz w:val="22"/>
                <w:lang w:eastAsia="es-MX"/>
              </w:rPr>
              <w:t>Brakes protector de arrancadores</w:t>
            </w:r>
          </w:p>
        </w:tc>
        <w:tc>
          <w:tcPr>
            <w:tcW w:w="0" w:type="auto"/>
            <w:shd w:val="clear" w:color="auto" w:fill="auto"/>
            <w:vAlign w:val="center"/>
            <w:hideMark/>
          </w:tcPr>
          <w:p w:rsidR="00CF3002" w:rsidRPr="00523007" w:rsidRDefault="00CF3002" w:rsidP="00523007">
            <w:pPr>
              <w:spacing w:after="0"/>
              <w:jc w:val="center"/>
              <w:rPr>
                <w:rFonts w:ascii="Arial Narrow" w:eastAsia="Times New Roman" w:hAnsi="Arial Narrow" w:cs="Times New Roman"/>
                <w:b/>
                <w:color w:val="000000"/>
                <w:sz w:val="22"/>
                <w:lang w:eastAsia="es-MX"/>
              </w:rPr>
            </w:pPr>
            <w:r w:rsidRPr="00523007">
              <w:rPr>
                <w:rFonts w:ascii="Arial Narrow" w:eastAsia="Times New Roman" w:hAnsi="Arial Narrow" w:cs="Times New Roman"/>
                <w:b/>
                <w:color w:val="000000"/>
                <w:sz w:val="22"/>
                <w:lang w:eastAsia="es-MX"/>
              </w:rPr>
              <w:t>40</w:t>
            </w:r>
          </w:p>
        </w:tc>
      </w:tr>
      <w:tr w:rsidR="00CF3002" w:rsidRPr="00523007" w:rsidTr="00523007">
        <w:trPr>
          <w:trHeight w:val="300"/>
        </w:trPr>
        <w:tc>
          <w:tcPr>
            <w:tcW w:w="0" w:type="auto"/>
            <w:shd w:val="clear" w:color="auto" w:fill="auto"/>
            <w:vAlign w:val="center"/>
            <w:hideMark/>
          </w:tcPr>
          <w:p w:rsidR="00CF3002" w:rsidRPr="00523007" w:rsidRDefault="00CF3002" w:rsidP="00523007">
            <w:pPr>
              <w:pStyle w:val="Prrafodelista"/>
              <w:numPr>
                <w:ilvl w:val="0"/>
                <w:numId w:val="3"/>
              </w:numPr>
              <w:spacing w:after="0"/>
              <w:jc w:val="left"/>
              <w:rPr>
                <w:rFonts w:ascii="Arial Narrow" w:eastAsia="Times New Roman" w:hAnsi="Arial Narrow" w:cs="Times New Roman"/>
                <w:color w:val="000000"/>
                <w:sz w:val="22"/>
                <w:lang w:eastAsia="es-MX"/>
              </w:rPr>
            </w:pPr>
            <w:r w:rsidRPr="00523007">
              <w:rPr>
                <w:rFonts w:ascii="Arial Narrow" w:eastAsia="Times New Roman" w:hAnsi="Arial Narrow" w:cs="Times New Roman"/>
                <w:color w:val="000000"/>
                <w:sz w:val="22"/>
                <w:lang w:eastAsia="es-MX"/>
              </w:rPr>
              <w:t>Cable para aireadores mts</w:t>
            </w:r>
          </w:p>
        </w:tc>
        <w:tc>
          <w:tcPr>
            <w:tcW w:w="0" w:type="auto"/>
            <w:shd w:val="clear" w:color="auto" w:fill="auto"/>
            <w:noWrap/>
            <w:vAlign w:val="center"/>
            <w:hideMark/>
          </w:tcPr>
          <w:p w:rsidR="00CF3002" w:rsidRPr="00523007" w:rsidRDefault="00CF3002" w:rsidP="00523007">
            <w:pPr>
              <w:spacing w:after="0"/>
              <w:jc w:val="center"/>
              <w:rPr>
                <w:rFonts w:ascii="Arial Narrow" w:eastAsia="Times New Roman" w:hAnsi="Arial Narrow" w:cs="Times New Roman"/>
                <w:b/>
                <w:color w:val="000000"/>
                <w:sz w:val="22"/>
                <w:lang w:eastAsia="es-MX"/>
              </w:rPr>
            </w:pPr>
            <w:r w:rsidRPr="00523007">
              <w:rPr>
                <w:rFonts w:ascii="Arial Narrow" w:eastAsia="Times New Roman" w:hAnsi="Arial Narrow" w:cs="Times New Roman"/>
                <w:b/>
                <w:color w:val="000000"/>
                <w:sz w:val="22"/>
                <w:lang w:eastAsia="es-MX"/>
              </w:rPr>
              <w:t>4,800</w:t>
            </w:r>
          </w:p>
        </w:tc>
      </w:tr>
      <w:tr w:rsidR="00CF3002" w:rsidRPr="00523007" w:rsidTr="002E2241">
        <w:trPr>
          <w:trHeight w:val="372"/>
        </w:trPr>
        <w:tc>
          <w:tcPr>
            <w:tcW w:w="0" w:type="auto"/>
            <w:shd w:val="clear" w:color="000000" w:fill="FFE699"/>
            <w:vAlign w:val="center"/>
            <w:hideMark/>
          </w:tcPr>
          <w:p w:rsidR="00CF3002" w:rsidRPr="00523007" w:rsidRDefault="00CF3002" w:rsidP="00523007">
            <w:pPr>
              <w:pStyle w:val="Prrafodelista"/>
              <w:numPr>
                <w:ilvl w:val="0"/>
                <w:numId w:val="3"/>
              </w:numPr>
              <w:spacing w:after="0"/>
              <w:jc w:val="left"/>
              <w:rPr>
                <w:rFonts w:ascii="Arial Narrow" w:eastAsia="Times New Roman" w:hAnsi="Arial Narrow" w:cs="Times New Roman"/>
                <w:color w:val="000000"/>
                <w:sz w:val="22"/>
                <w:lang w:eastAsia="es-MX"/>
              </w:rPr>
            </w:pPr>
            <w:r w:rsidRPr="00523007">
              <w:rPr>
                <w:rFonts w:ascii="Arial Narrow" w:eastAsia="Times New Roman" w:hAnsi="Arial Narrow" w:cs="Times New Roman"/>
                <w:color w:val="000000"/>
                <w:sz w:val="22"/>
                <w:lang w:eastAsia="es-MX"/>
              </w:rPr>
              <w:t>Lámparas con poste 200 wats, con equipo complementario</w:t>
            </w:r>
          </w:p>
        </w:tc>
        <w:tc>
          <w:tcPr>
            <w:tcW w:w="0" w:type="auto"/>
            <w:shd w:val="clear" w:color="000000" w:fill="FFE699"/>
            <w:vAlign w:val="center"/>
            <w:hideMark/>
          </w:tcPr>
          <w:p w:rsidR="00CF3002" w:rsidRPr="00523007" w:rsidRDefault="00CF3002" w:rsidP="00523007">
            <w:pPr>
              <w:spacing w:after="0"/>
              <w:jc w:val="center"/>
              <w:rPr>
                <w:rFonts w:ascii="Arial Narrow" w:eastAsia="Times New Roman" w:hAnsi="Arial Narrow" w:cs="Times New Roman"/>
                <w:b/>
                <w:color w:val="000000"/>
                <w:sz w:val="22"/>
                <w:lang w:eastAsia="es-MX"/>
              </w:rPr>
            </w:pPr>
            <w:r w:rsidRPr="00523007">
              <w:rPr>
                <w:rFonts w:ascii="Arial Narrow" w:eastAsia="Times New Roman" w:hAnsi="Arial Narrow" w:cs="Times New Roman"/>
                <w:b/>
                <w:color w:val="000000"/>
                <w:sz w:val="22"/>
                <w:lang w:eastAsia="es-MX"/>
              </w:rPr>
              <w:t>5</w:t>
            </w:r>
          </w:p>
        </w:tc>
      </w:tr>
      <w:tr w:rsidR="00CF3002" w:rsidRPr="00523007" w:rsidTr="00523007">
        <w:trPr>
          <w:trHeight w:val="300"/>
        </w:trPr>
        <w:tc>
          <w:tcPr>
            <w:tcW w:w="0" w:type="auto"/>
            <w:shd w:val="clear" w:color="000000" w:fill="FFE699"/>
            <w:vAlign w:val="center"/>
            <w:hideMark/>
          </w:tcPr>
          <w:p w:rsidR="00CF3002" w:rsidRPr="00523007" w:rsidRDefault="00CF3002" w:rsidP="00523007">
            <w:pPr>
              <w:pStyle w:val="Prrafodelista"/>
              <w:numPr>
                <w:ilvl w:val="0"/>
                <w:numId w:val="3"/>
              </w:numPr>
              <w:spacing w:after="0"/>
              <w:jc w:val="left"/>
              <w:rPr>
                <w:rFonts w:ascii="Arial Narrow" w:eastAsia="Times New Roman" w:hAnsi="Arial Narrow" w:cs="Times New Roman"/>
                <w:color w:val="000000"/>
                <w:sz w:val="22"/>
                <w:lang w:eastAsia="es-MX"/>
              </w:rPr>
            </w:pPr>
            <w:r w:rsidRPr="00523007">
              <w:rPr>
                <w:rFonts w:ascii="Arial Narrow" w:eastAsia="Times New Roman" w:hAnsi="Arial Narrow" w:cs="Times New Roman"/>
                <w:color w:val="000000"/>
                <w:sz w:val="22"/>
                <w:lang w:eastAsia="es-MX"/>
              </w:rPr>
              <w:t>Plantas generadoras de 175 kva</w:t>
            </w:r>
          </w:p>
        </w:tc>
        <w:tc>
          <w:tcPr>
            <w:tcW w:w="0" w:type="auto"/>
            <w:shd w:val="clear" w:color="000000" w:fill="FFE699"/>
            <w:vAlign w:val="center"/>
            <w:hideMark/>
          </w:tcPr>
          <w:p w:rsidR="00CF3002" w:rsidRPr="00523007" w:rsidRDefault="00CF3002" w:rsidP="00523007">
            <w:pPr>
              <w:spacing w:after="0"/>
              <w:jc w:val="center"/>
              <w:rPr>
                <w:rFonts w:ascii="Arial Narrow" w:eastAsia="Times New Roman" w:hAnsi="Arial Narrow" w:cs="Times New Roman"/>
                <w:b/>
                <w:color w:val="000000"/>
                <w:sz w:val="22"/>
                <w:lang w:eastAsia="es-MX"/>
              </w:rPr>
            </w:pPr>
            <w:r w:rsidRPr="00523007">
              <w:rPr>
                <w:rFonts w:ascii="Arial Narrow" w:eastAsia="Times New Roman" w:hAnsi="Arial Narrow" w:cs="Times New Roman"/>
                <w:b/>
                <w:color w:val="000000"/>
                <w:sz w:val="22"/>
                <w:lang w:eastAsia="es-MX"/>
              </w:rPr>
              <w:t>2</w:t>
            </w:r>
          </w:p>
        </w:tc>
      </w:tr>
      <w:tr w:rsidR="00CF3002" w:rsidRPr="00523007" w:rsidTr="00523007">
        <w:trPr>
          <w:trHeight w:val="300"/>
        </w:trPr>
        <w:tc>
          <w:tcPr>
            <w:tcW w:w="0" w:type="auto"/>
            <w:shd w:val="clear" w:color="000000" w:fill="FFE699"/>
            <w:vAlign w:val="center"/>
            <w:hideMark/>
          </w:tcPr>
          <w:p w:rsidR="00CF3002" w:rsidRPr="00523007" w:rsidRDefault="00CF3002" w:rsidP="00523007">
            <w:pPr>
              <w:pStyle w:val="Prrafodelista"/>
              <w:numPr>
                <w:ilvl w:val="0"/>
                <w:numId w:val="3"/>
              </w:numPr>
              <w:spacing w:after="0"/>
              <w:jc w:val="left"/>
              <w:rPr>
                <w:rFonts w:ascii="Arial Narrow" w:eastAsia="Times New Roman" w:hAnsi="Arial Narrow" w:cs="Times New Roman"/>
                <w:color w:val="000000"/>
                <w:sz w:val="22"/>
                <w:lang w:eastAsia="es-MX"/>
              </w:rPr>
            </w:pPr>
            <w:r w:rsidRPr="00523007">
              <w:rPr>
                <w:rFonts w:ascii="Arial Narrow" w:eastAsia="Times New Roman" w:hAnsi="Arial Narrow" w:cs="Times New Roman"/>
                <w:color w:val="000000"/>
                <w:sz w:val="22"/>
                <w:lang w:eastAsia="es-MX"/>
              </w:rPr>
              <w:lastRenderedPageBreak/>
              <w:t>Línea en baja, de 220 volts, (m)</w:t>
            </w:r>
          </w:p>
        </w:tc>
        <w:tc>
          <w:tcPr>
            <w:tcW w:w="0" w:type="auto"/>
            <w:shd w:val="clear" w:color="000000" w:fill="FFE699"/>
            <w:vAlign w:val="center"/>
            <w:hideMark/>
          </w:tcPr>
          <w:p w:rsidR="00CF3002" w:rsidRPr="00523007" w:rsidRDefault="00CF3002" w:rsidP="00523007">
            <w:pPr>
              <w:spacing w:after="0"/>
              <w:jc w:val="center"/>
              <w:rPr>
                <w:rFonts w:ascii="Arial Narrow" w:eastAsia="Times New Roman" w:hAnsi="Arial Narrow" w:cs="Times New Roman"/>
                <w:b/>
                <w:color w:val="000000"/>
                <w:sz w:val="22"/>
                <w:lang w:eastAsia="es-MX"/>
              </w:rPr>
            </w:pPr>
            <w:r w:rsidRPr="00523007">
              <w:rPr>
                <w:rFonts w:ascii="Arial Narrow" w:eastAsia="Times New Roman" w:hAnsi="Arial Narrow" w:cs="Times New Roman"/>
                <w:b/>
                <w:color w:val="000000"/>
                <w:sz w:val="22"/>
                <w:lang w:eastAsia="es-MX"/>
              </w:rPr>
              <w:t>100</w:t>
            </w:r>
          </w:p>
        </w:tc>
      </w:tr>
      <w:tr w:rsidR="00CF3002" w:rsidRPr="00523007" w:rsidTr="00523007">
        <w:trPr>
          <w:trHeight w:val="600"/>
        </w:trPr>
        <w:tc>
          <w:tcPr>
            <w:tcW w:w="0" w:type="auto"/>
            <w:shd w:val="clear" w:color="auto" w:fill="auto"/>
            <w:vAlign w:val="center"/>
            <w:hideMark/>
          </w:tcPr>
          <w:p w:rsidR="00CF3002" w:rsidRPr="00523007" w:rsidRDefault="00CF3002" w:rsidP="00523007">
            <w:pPr>
              <w:pStyle w:val="Prrafodelista"/>
              <w:numPr>
                <w:ilvl w:val="0"/>
                <w:numId w:val="3"/>
              </w:numPr>
              <w:spacing w:after="0"/>
              <w:jc w:val="left"/>
              <w:rPr>
                <w:rFonts w:ascii="Arial Narrow" w:eastAsia="Times New Roman" w:hAnsi="Arial Narrow" w:cs="Times New Roman"/>
                <w:color w:val="000000"/>
                <w:sz w:val="22"/>
                <w:lang w:eastAsia="es-MX"/>
              </w:rPr>
            </w:pPr>
            <w:r w:rsidRPr="00523007">
              <w:rPr>
                <w:rFonts w:ascii="Arial Narrow" w:eastAsia="Times New Roman" w:hAnsi="Arial Narrow" w:cs="Times New Roman"/>
                <w:color w:val="000000"/>
                <w:sz w:val="22"/>
                <w:lang w:eastAsia="es-MX"/>
              </w:rPr>
              <w:t>Raceways de liner, de 20m de largo, por 9 de ancho, por 1 m de profundidad, 180 m3</w:t>
            </w:r>
          </w:p>
        </w:tc>
        <w:tc>
          <w:tcPr>
            <w:tcW w:w="0" w:type="auto"/>
            <w:shd w:val="clear" w:color="auto" w:fill="auto"/>
            <w:vAlign w:val="center"/>
            <w:hideMark/>
          </w:tcPr>
          <w:p w:rsidR="00CF3002" w:rsidRPr="00523007" w:rsidRDefault="00CF3002" w:rsidP="00523007">
            <w:pPr>
              <w:spacing w:after="0"/>
              <w:jc w:val="center"/>
              <w:rPr>
                <w:rFonts w:ascii="Arial Narrow" w:eastAsia="Times New Roman" w:hAnsi="Arial Narrow" w:cs="Times New Roman"/>
                <w:b/>
                <w:color w:val="000000"/>
                <w:sz w:val="22"/>
                <w:lang w:eastAsia="es-MX"/>
              </w:rPr>
            </w:pPr>
            <w:r w:rsidRPr="00523007">
              <w:rPr>
                <w:rFonts w:ascii="Arial Narrow" w:eastAsia="Times New Roman" w:hAnsi="Arial Narrow" w:cs="Times New Roman"/>
                <w:b/>
                <w:color w:val="000000"/>
                <w:sz w:val="22"/>
                <w:lang w:eastAsia="es-MX"/>
              </w:rPr>
              <w:t>4</w:t>
            </w:r>
          </w:p>
        </w:tc>
      </w:tr>
      <w:tr w:rsidR="00CF3002" w:rsidRPr="00523007" w:rsidTr="00523007">
        <w:trPr>
          <w:trHeight w:val="300"/>
        </w:trPr>
        <w:tc>
          <w:tcPr>
            <w:tcW w:w="0" w:type="auto"/>
            <w:shd w:val="clear" w:color="auto" w:fill="auto"/>
            <w:vAlign w:val="center"/>
            <w:hideMark/>
          </w:tcPr>
          <w:p w:rsidR="00CF3002" w:rsidRPr="00523007" w:rsidRDefault="00CF3002" w:rsidP="00523007">
            <w:pPr>
              <w:pStyle w:val="Prrafodelista"/>
              <w:numPr>
                <w:ilvl w:val="0"/>
                <w:numId w:val="3"/>
              </w:numPr>
              <w:spacing w:after="0"/>
              <w:jc w:val="left"/>
              <w:rPr>
                <w:rFonts w:ascii="Arial Narrow" w:eastAsia="Times New Roman" w:hAnsi="Arial Narrow" w:cs="Times New Roman"/>
                <w:color w:val="000000"/>
                <w:sz w:val="22"/>
                <w:lang w:eastAsia="es-MX"/>
              </w:rPr>
            </w:pPr>
            <w:r w:rsidRPr="00523007">
              <w:rPr>
                <w:rFonts w:ascii="Arial Narrow" w:eastAsia="Times New Roman" w:hAnsi="Arial Narrow" w:cs="Times New Roman"/>
                <w:color w:val="000000"/>
                <w:sz w:val="22"/>
                <w:lang w:eastAsia="es-MX"/>
              </w:rPr>
              <w:t>Tinas de liner de 16 m de diámetro y 1.30 de alto</w:t>
            </w:r>
          </w:p>
        </w:tc>
        <w:tc>
          <w:tcPr>
            <w:tcW w:w="0" w:type="auto"/>
            <w:shd w:val="clear" w:color="auto" w:fill="auto"/>
            <w:vAlign w:val="center"/>
            <w:hideMark/>
          </w:tcPr>
          <w:p w:rsidR="00CF3002" w:rsidRPr="00523007" w:rsidRDefault="00CF3002" w:rsidP="00523007">
            <w:pPr>
              <w:spacing w:after="0"/>
              <w:jc w:val="center"/>
              <w:rPr>
                <w:rFonts w:ascii="Arial Narrow" w:eastAsia="Times New Roman" w:hAnsi="Arial Narrow" w:cs="Times New Roman"/>
                <w:b/>
                <w:color w:val="000000"/>
                <w:sz w:val="22"/>
                <w:lang w:eastAsia="es-MX"/>
              </w:rPr>
            </w:pPr>
            <w:r w:rsidRPr="00523007">
              <w:rPr>
                <w:rFonts w:ascii="Arial Narrow" w:eastAsia="Times New Roman" w:hAnsi="Arial Narrow" w:cs="Times New Roman"/>
                <w:b/>
                <w:color w:val="000000"/>
                <w:sz w:val="22"/>
                <w:lang w:eastAsia="es-MX"/>
              </w:rPr>
              <w:t>6</w:t>
            </w:r>
          </w:p>
        </w:tc>
      </w:tr>
      <w:tr w:rsidR="00CF3002" w:rsidRPr="00523007" w:rsidTr="00523007">
        <w:trPr>
          <w:trHeight w:val="600"/>
        </w:trPr>
        <w:tc>
          <w:tcPr>
            <w:tcW w:w="0" w:type="auto"/>
            <w:shd w:val="clear" w:color="auto" w:fill="auto"/>
            <w:vAlign w:val="center"/>
            <w:hideMark/>
          </w:tcPr>
          <w:p w:rsidR="00CF3002" w:rsidRPr="00523007" w:rsidRDefault="00CF3002" w:rsidP="00523007">
            <w:pPr>
              <w:pStyle w:val="Prrafodelista"/>
              <w:numPr>
                <w:ilvl w:val="0"/>
                <w:numId w:val="3"/>
              </w:numPr>
              <w:spacing w:after="0"/>
              <w:jc w:val="left"/>
              <w:rPr>
                <w:rFonts w:ascii="Arial Narrow" w:eastAsia="Times New Roman" w:hAnsi="Arial Narrow" w:cs="Times New Roman"/>
                <w:color w:val="000000"/>
                <w:sz w:val="22"/>
                <w:lang w:eastAsia="es-MX"/>
              </w:rPr>
            </w:pPr>
            <w:r w:rsidRPr="00523007">
              <w:rPr>
                <w:rFonts w:ascii="Arial Narrow" w:eastAsia="Times New Roman" w:hAnsi="Arial Narrow" w:cs="Times New Roman"/>
                <w:color w:val="000000"/>
                <w:sz w:val="22"/>
                <w:lang w:eastAsia="es-MX"/>
              </w:rPr>
              <w:t>Tubería y conexiones para suministro de agua, aire y drenaje, raceways (lote)</w:t>
            </w:r>
          </w:p>
        </w:tc>
        <w:tc>
          <w:tcPr>
            <w:tcW w:w="0" w:type="auto"/>
            <w:shd w:val="clear" w:color="auto" w:fill="auto"/>
            <w:vAlign w:val="center"/>
            <w:hideMark/>
          </w:tcPr>
          <w:p w:rsidR="00CF3002" w:rsidRPr="00523007" w:rsidRDefault="00CF3002" w:rsidP="00523007">
            <w:pPr>
              <w:spacing w:after="0"/>
              <w:jc w:val="center"/>
              <w:rPr>
                <w:rFonts w:ascii="Arial Narrow" w:eastAsia="Times New Roman" w:hAnsi="Arial Narrow" w:cs="Times New Roman"/>
                <w:b/>
                <w:color w:val="000000"/>
                <w:sz w:val="22"/>
                <w:lang w:eastAsia="es-MX"/>
              </w:rPr>
            </w:pPr>
            <w:r w:rsidRPr="00523007">
              <w:rPr>
                <w:rFonts w:ascii="Arial Narrow" w:eastAsia="Times New Roman" w:hAnsi="Arial Narrow" w:cs="Times New Roman"/>
                <w:b/>
                <w:color w:val="000000"/>
                <w:sz w:val="22"/>
                <w:lang w:eastAsia="es-MX"/>
              </w:rPr>
              <w:t>1</w:t>
            </w:r>
          </w:p>
        </w:tc>
      </w:tr>
      <w:tr w:rsidR="00CF3002" w:rsidRPr="00523007" w:rsidTr="00CE2993">
        <w:trPr>
          <w:trHeight w:val="422"/>
        </w:trPr>
        <w:tc>
          <w:tcPr>
            <w:tcW w:w="0" w:type="auto"/>
            <w:shd w:val="clear" w:color="auto" w:fill="auto"/>
            <w:vAlign w:val="center"/>
            <w:hideMark/>
          </w:tcPr>
          <w:p w:rsidR="00CF3002" w:rsidRPr="00523007" w:rsidRDefault="00CF3002" w:rsidP="00523007">
            <w:pPr>
              <w:pStyle w:val="Prrafodelista"/>
              <w:numPr>
                <w:ilvl w:val="0"/>
                <w:numId w:val="3"/>
              </w:numPr>
              <w:spacing w:after="0"/>
              <w:jc w:val="left"/>
              <w:rPr>
                <w:rFonts w:ascii="Arial Narrow" w:eastAsia="Times New Roman" w:hAnsi="Arial Narrow" w:cs="Times New Roman"/>
                <w:color w:val="000000"/>
                <w:sz w:val="22"/>
                <w:lang w:eastAsia="es-MX"/>
              </w:rPr>
            </w:pPr>
            <w:r w:rsidRPr="00523007">
              <w:rPr>
                <w:rFonts w:ascii="Arial Narrow" w:eastAsia="Times New Roman" w:hAnsi="Arial Narrow" w:cs="Times New Roman"/>
                <w:color w:val="000000"/>
                <w:sz w:val="22"/>
                <w:lang w:eastAsia="es-MX"/>
              </w:rPr>
              <w:t>Tubería y conexiones para suministro de agua, aire y drenaje, tinas (lote)</w:t>
            </w:r>
          </w:p>
        </w:tc>
        <w:tc>
          <w:tcPr>
            <w:tcW w:w="0" w:type="auto"/>
            <w:shd w:val="clear" w:color="auto" w:fill="auto"/>
            <w:vAlign w:val="center"/>
            <w:hideMark/>
          </w:tcPr>
          <w:p w:rsidR="00CF3002" w:rsidRPr="00523007" w:rsidRDefault="00CF3002" w:rsidP="00523007">
            <w:pPr>
              <w:spacing w:after="0"/>
              <w:jc w:val="center"/>
              <w:rPr>
                <w:rFonts w:ascii="Arial Narrow" w:eastAsia="Times New Roman" w:hAnsi="Arial Narrow" w:cs="Times New Roman"/>
                <w:b/>
                <w:color w:val="000000"/>
                <w:sz w:val="22"/>
                <w:lang w:eastAsia="es-MX"/>
              </w:rPr>
            </w:pPr>
            <w:r w:rsidRPr="00523007">
              <w:rPr>
                <w:rFonts w:ascii="Arial Narrow" w:eastAsia="Times New Roman" w:hAnsi="Arial Narrow" w:cs="Times New Roman"/>
                <w:b/>
                <w:color w:val="000000"/>
                <w:sz w:val="22"/>
                <w:lang w:eastAsia="es-MX"/>
              </w:rPr>
              <w:t>1</w:t>
            </w:r>
          </w:p>
        </w:tc>
      </w:tr>
      <w:tr w:rsidR="00CF3002" w:rsidRPr="00523007" w:rsidTr="00CE2993">
        <w:trPr>
          <w:trHeight w:val="444"/>
        </w:trPr>
        <w:tc>
          <w:tcPr>
            <w:tcW w:w="0" w:type="auto"/>
            <w:shd w:val="clear" w:color="auto" w:fill="auto"/>
            <w:vAlign w:val="center"/>
            <w:hideMark/>
          </w:tcPr>
          <w:p w:rsidR="00CF3002" w:rsidRPr="00523007" w:rsidRDefault="00CF3002" w:rsidP="00523007">
            <w:pPr>
              <w:pStyle w:val="Prrafodelista"/>
              <w:numPr>
                <w:ilvl w:val="0"/>
                <w:numId w:val="3"/>
              </w:numPr>
              <w:spacing w:after="0"/>
              <w:jc w:val="left"/>
              <w:rPr>
                <w:rFonts w:ascii="Arial Narrow" w:eastAsia="Times New Roman" w:hAnsi="Arial Narrow" w:cs="Times New Roman"/>
                <w:color w:val="000000"/>
                <w:sz w:val="22"/>
                <w:lang w:eastAsia="es-MX"/>
              </w:rPr>
            </w:pPr>
            <w:r w:rsidRPr="00523007">
              <w:rPr>
                <w:rFonts w:ascii="Arial Narrow" w:eastAsia="Times New Roman" w:hAnsi="Arial Narrow" w:cs="Times New Roman"/>
                <w:color w:val="000000"/>
                <w:sz w:val="22"/>
                <w:lang w:eastAsia="es-MX"/>
              </w:rPr>
              <w:t>Canal de alimentación de agua de pozo a estanques de concreto, de 0.50 de alto, por 0.50 de ancho (m)</w:t>
            </w:r>
          </w:p>
        </w:tc>
        <w:tc>
          <w:tcPr>
            <w:tcW w:w="0" w:type="auto"/>
            <w:shd w:val="clear" w:color="auto" w:fill="auto"/>
            <w:vAlign w:val="center"/>
            <w:hideMark/>
          </w:tcPr>
          <w:p w:rsidR="00CF3002" w:rsidRPr="00523007" w:rsidRDefault="00CF3002" w:rsidP="00523007">
            <w:pPr>
              <w:spacing w:after="0"/>
              <w:jc w:val="center"/>
              <w:rPr>
                <w:rFonts w:ascii="Arial Narrow" w:eastAsia="Times New Roman" w:hAnsi="Arial Narrow" w:cs="Times New Roman"/>
                <w:b/>
                <w:color w:val="000000"/>
                <w:sz w:val="22"/>
                <w:lang w:eastAsia="es-MX"/>
              </w:rPr>
            </w:pPr>
            <w:r w:rsidRPr="00523007">
              <w:rPr>
                <w:rFonts w:ascii="Arial Narrow" w:eastAsia="Times New Roman" w:hAnsi="Arial Narrow" w:cs="Times New Roman"/>
                <w:b/>
                <w:color w:val="000000"/>
                <w:sz w:val="22"/>
                <w:lang w:eastAsia="es-MX"/>
              </w:rPr>
              <w:t>450</w:t>
            </w:r>
          </w:p>
        </w:tc>
      </w:tr>
      <w:tr w:rsidR="00CF3002" w:rsidRPr="00523007" w:rsidTr="00CE2993">
        <w:trPr>
          <w:trHeight w:val="322"/>
        </w:trPr>
        <w:tc>
          <w:tcPr>
            <w:tcW w:w="0" w:type="auto"/>
            <w:shd w:val="clear" w:color="auto" w:fill="auto"/>
            <w:vAlign w:val="center"/>
            <w:hideMark/>
          </w:tcPr>
          <w:p w:rsidR="00CF3002" w:rsidRPr="00523007" w:rsidRDefault="00CF3002" w:rsidP="00523007">
            <w:pPr>
              <w:pStyle w:val="Prrafodelista"/>
              <w:numPr>
                <w:ilvl w:val="0"/>
                <w:numId w:val="3"/>
              </w:numPr>
              <w:spacing w:after="0"/>
              <w:jc w:val="left"/>
              <w:rPr>
                <w:rFonts w:ascii="Arial Narrow" w:eastAsia="Times New Roman" w:hAnsi="Arial Narrow" w:cs="Times New Roman"/>
                <w:color w:val="000000"/>
                <w:sz w:val="22"/>
                <w:lang w:eastAsia="es-MX"/>
              </w:rPr>
            </w:pPr>
            <w:r w:rsidRPr="00523007">
              <w:rPr>
                <w:rFonts w:ascii="Arial Narrow" w:eastAsia="Times New Roman" w:hAnsi="Arial Narrow" w:cs="Times New Roman"/>
                <w:color w:val="000000"/>
                <w:sz w:val="22"/>
                <w:lang w:eastAsia="es-MX"/>
              </w:rPr>
              <w:t>Estructuras de concreto de entrada de agua con 2 tubos de 6”</w:t>
            </w:r>
          </w:p>
        </w:tc>
        <w:tc>
          <w:tcPr>
            <w:tcW w:w="0" w:type="auto"/>
            <w:shd w:val="clear" w:color="auto" w:fill="auto"/>
            <w:vAlign w:val="center"/>
            <w:hideMark/>
          </w:tcPr>
          <w:p w:rsidR="00CF3002" w:rsidRPr="00523007" w:rsidRDefault="00CF3002" w:rsidP="00523007">
            <w:pPr>
              <w:spacing w:after="0"/>
              <w:jc w:val="center"/>
              <w:rPr>
                <w:rFonts w:ascii="Arial Narrow" w:eastAsia="Times New Roman" w:hAnsi="Arial Narrow" w:cs="Times New Roman"/>
                <w:b/>
                <w:color w:val="000000"/>
                <w:sz w:val="22"/>
                <w:lang w:eastAsia="es-MX"/>
              </w:rPr>
            </w:pPr>
            <w:r w:rsidRPr="00523007">
              <w:rPr>
                <w:rFonts w:ascii="Arial Narrow" w:eastAsia="Times New Roman" w:hAnsi="Arial Narrow" w:cs="Times New Roman"/>
                <w:b/>
                <w:color w:val="000000"/>
                <w:sz w:val="22"/>
                <w:lang w:eastAsia="es-MX"/>
              </w:rPr>
              <w:t>6</w:t>
            </w:r>
          </w:p>
        </w:tc>
      </w:tr>
      <w:tr w:rsidR="00CF3002" w:rsidRPr="00523007" w:rsidTr="002E2241">
        <w:trPr>
          <w:trHeight w:val="821"/>
        </w:trPr>
        <w:tc>
          <w:tcPr>
            <w:tcW w:w="0" w:type="auto"/>
            <w:shd w:val="clear" w:color="auto" w:fill="auto"/>
            <w:vAlign w:val="center"/>
            <w:hideMark/>
          </w:tcPr>
          <w:p w:rsidR="00CF3002" w:rsidRPr="00523007" w:rsidRDefault="00CF3002" w:rsidP="00523007">
            <w:pPr>
              <w:pStyle w:val="Prrafodelista"/>
              <w:numPr>
                <w:ilvl w:val="0"/>
                <w:numId w:val="3"/>
              </w:numPr>
              <w:spacing w:after="0"/>
              <w:jc w:val="left"/>
              <w:rPr>
                <w:rFonts w:ascii="Arial Narrow" w:eastAsia="Times New Roman" w:hAnsi="Arial Narrow" w:cs="Times New Roman"/>
                <w:color w:val="000000"/>
                <w:sz w:val="22"/>
                <w:lang w:eastAsia="es-MX"/>
              </w:rPr>
            </w:pPr>
            <w:r w:rsidRPr="00523007">
              <w:rPr>
                <w:rFonts w:ascii="Arial Narrow" w:eastAsia="Times New Roman" w:hAnsi="Arial Narrow" w:cs="Times New Roman"/>
                <w:color w:val="000000"/>
                <w:sz w:val="22"/>
                <w:lang w:eastAsia="es-MX"/>
              </w:rPr>
              <w:t>Estructuras de salida de agua, de concreto armado con cajón interior y exterior de 15 cm de pared, con piso de concreto, conectados por un canal cerrado de 40 x 40 cm, con compuertas de madera con malla de 500 micras, con soporte de malla de 0.5 cm,</w:t>
            </w:r>
          </w:p>
        </w:tc>
        <w:tc>
          <w:tcPr>
            <w:tcW w:w="0" w:type="auto"/>
            <w:shd w:val="clear" w:color="auto" w:fill="auto"/>
            <w:vAlign w:val="center"/>
            <w:hideMark/>
          </w:tcPr>
          <w:p w:rsidR="00CF3002" w:rsidRPr="00523007" w:rsidRDefault="00CF3002" w:rsidP="00523007">
            <w:pPr>
              <w:spacing w:after="0"/>
              <w:jc w:val="center"/>
              <w:rPr>
                <w:rFonts w:ascii="Arial Narrow" w:eastAsia="Times New Roman" w:hAnsi="Arial Narrow" w:cs="Times New Roman"/>
                <w:b/>
                <w:color w:val="000000"/>
                <w:sz w:val="22"/>
                <w:lang w:eastAsia="es-MX"/>
              </w:rPr>
            </w:pPr>
            <w:r w:rsidRPr="00523007">
              <w:rPr>
                <w:rFonts w:ascii="Arial Narrow" w:eastAsia="Times New Roman" w:hAnsi="Arial Narrow" w:cs="Times New Roman"/>
                <w:b/>
                <w:color w:val="000000"/>
                <w:sz w:val="22"/>
                <w:lang w:eastAsia="es-MX"/>
              </w:rPr>
              <w:t>6</w:t>
            </w:r>
          </w:p>
        </w:tc>
      </w:tr>
      <w:tr w:rsidR="00CF3002" w:rsidRPr="00523007" w:rsidTr="00CE2993">
        <w:trPr>
          <w:trHeight w:val="438"/>
        </w:trPr>
        <w:tc>
          <w:tcPr>
            <w:tcW w:w="0" w:type="auto"/>
            <w:shd w:val="clear" w:color="auto" w:fill="auto"/>
            <w:vAlign w:val="center"/>
            <w:hideMark/>
          </w:tcPr>
          <w:p w:rsidR="00CF3002" w:rsidRPr="00523007" w:rsidRDefault="00CF3002" w:rsidP="00523007">
            <w:pPr>
              <w:pStyle w:val="Prrafodelista"/>
              <w:numPr>
                <w:ilvl w:val="0"/>
                <w:numId w:val="3"/>
              </w:numPr>
              <w:spacing w:after="0"/>
              <w:jc w:val="left"/>
              <w:rPr>
                <w:rFonts w:ascii="Arial Narrow" w:eastAsia="Times New Roman" w:hAnsi="Arial Narrow" w:cs="Times New Roman"/>
                <w:color w:val="000000"/>
                <w:sz w:val="22"/>
                <w:lang w:eastAsia="es-MX"/>
              </w:rPr>
            </w:pPr>
            <w:r w:rsidRPr="00523007">
              <w:rPr>
                <w:rFonts w:ascii="Arial Narrow" w:eastAsia="Times New Roman" w:hAnsi="Arial Narrow" w:cs="Times New Roman"/>
                <w:color w:val="000000"/>
                <w:sz w:val="22"/>
                <w:lang w:eastAsia="es-MX"/>
              </w:rPr>
              <w:t>Estanques de liner de 40 x 75 m, con profundidad promedio de 1 m, con mínimo de 0.9 m, y máximo de 1,2 m, de 3,200 m3</w:t>
            </w:r>
          </w:p>
        </w:tc>
        <w:tc>
          <w:tcPr>
            <w:tcW w:w="0" w:type="auto"/>
            <w:shd w:val="clear" w:color="auto" w:fill="auto"/>
            <w:vAlign w:val="center"/>
            <w:hideMark/>
          </w:tcPr>
          <w:p w:rsidR="00CF3002" w:rsidRPr="00523007" w:rsidRDefault="00CF3002" w:rsidP="00523007">
            <w:pPr>
              <w:spacing w:after="0"/>
              <w:jc w:val="center"/>
              <w:rPr>
                <w:rFonts w:ascii="Arial Narrow" w:eastAsia="Times New Roman" w:hAnsi="Arial Narrow" w:cs="Times New Roman"/>
                <w:b/>
                <w:color w:val="000000"/>
                <w:sz w:val="22"/>
                <w:lang w:eastAsia="es-MX"/>
              </w:rPr>
            </w:pPr>
            <w:r w:rsidRPr="00523007">
              <w:rPr>
                <w:rFonts w:ascii="Arial Narrow" w:eastAsia="Times New Roman" w:hAnsi="Arial Narrow" w:cs="Times New Roman"/>
                <w:b/>
                <w:color w:val="000000"/>
                <w:sz w:val="22"/>
                <w:lang w:eastAsia="es-MX"/>
              </w:rPr>
              <w:t>4</w:t>
            </w:r>
          </w:p>
        </w:tc>
      </w:tr>
      <w:tr w:rsidR="00CF3002" w:rsidRPr="00523007" w:rsidTr="002E2241">
        <w:trPr>
          <w:trHeight w:val="652"/>
        </w:trPr>
        <w:tc>
          <w:tcPr>
            <w:tcW w:w="0" w:type="auto"/>
            <w:shd w:val="clear" w:color="auto" w:fill="auto"/>
            <w:vAlign w:val="center"/>
            <w:hideMark/>
          </w:tcPr>
          <w:p w:rsidR="00CF3002" w:rsidRPr="00523007" w:rsidRDefault="00CF3002" w:rsidP="00523007">
            <w:pPr>
              <w:pStyle w:val="Prrafodelista"/>
              <w:numPr>
                <w:ilvl w:val="0"/>
                <w:numId w:val="3"/>
              </w:numPr>
              <w:spacing w:after="0"/>
              <w:jc w:val="left"/>
              <w:rPr>
                <w:rFonts w:ascii="Arial Narrow" w:eastAsia="Times New Roman" w:hAnsi="Arial Narrow" w:cs="Times New Roman"/>
                <w:color w:val="000000"/>
                <w:sz w:val="22"/>
                <w:lang w:eastAsia="es-MX"/>
              </w:rPr>
            </w:pPr>
            <w:r w:rsidRPr="00523007">
              <w:rPr>
                <w:rFonts w:ascii="Arial Narrow" w:eastAsia="Times New Roman" w:hAnsi="Arial Narrow" w:cs="Times New Roman"/>
                <w:color w:val="000000"/>
                <w:sz w:val="22"/>
                <w:lang w:eastAsia="es-MX"/>
              </w:rPr>
              <w:t>Estanques de liner de 80 x 75 m, con profundidad promedio de 1 m, con mínimo de 0.9 m, y máximo de 1,2 m, de 6,000 m3.</w:t>
            </w:r>
          </w:p>
        </w:tc>
        <w:tc>
          <w:tcPr>
            <w:tcW w:w="0" w:type="auto"/>
            <w:shd w:val="clear" w:color="auto" w:fill="auto"/>
            <w:vAlign w:val="center"/>
            <w:hideMark/>
          </w:tcPr>
          <w:p w:rsidR="00CF3002" w:rsidRPr="00523007" w:rsidRDefault="00CF3002" w:rsidP="00523007">
            <w:pPr>
              <w:spacing w:after="0"/>
              <w:jc w:val="center"/>
              <w:rPr>
                <w:rFonts w:ascii="Arial Narrow" w:eastAsia="Times New Roman" w:hAnsi="Arial Narrow" w:cs="Times New Roman"/>
                <w:b/>
                <w:color w:val="000000"/>
                <w:sz w:val="22"/>
                <w:lang w:eastAsia="es-MX"/>
              </w:rPr>
            </w:pPr>
            <w:r w:rsidRPr="00523007">
              <w:rPr>
                <w:rFonts w:ascii="Arial Narrow" w:eastAsia="Times New Roman" w:hAnsi="Arial Narrow" w:cs="Times New Roman"/>
                <w:b/>
                <w:color w:val="000000"/>
                <w:sz w:val="22"/>
                <w:lang w:eastAsia="es-MX"/>
              </w:rPr>
              <w:t>4</w:t>
            </w:r>
          </w:p>
        </w:tc>
      </w:tr>
      <w:tr w:rsidR="00CF3002" w:rsidRPr="00523007" w:rsidTr="00523007">
        <w:trPr>
          <w:trHeight w:val="300"/>
        </w:trPr>
        <w:tc>
          <w:tcPr>
            <w:tcW w:w="0" w:type="auto"/>
            <w:shd w:val="clear" w:color="000000" w:fill="FFE699"/>
            <w:vAlign w:val="center"/>
            <w:hideMark/>
          </w:tcPr>
          <w:p w:rsidR="00CF3002" w:rsidRPr="00523007" w:rsidRDefault="00CF3002" w:rsidP="00523007">
            <w:pPr>
              <w:pStyle w:val="Prrafodelista"/>
              <w:numPr>
                <w:ilvl w:val="0"/>
                <w:numId w:val="3"/>
              </w:numPr>
              <w:spacing w:after="0"/>
              <w:jc w:val="left"/>
              <w:rPr>
                <w:rFonts w:ascii="Arial Narrow" w:eastAsia="Times New Roman" w:hAnsi="Arial Narrow" w:cs="Times New Roman"/>
                <w:color w:val="000000"/>
                <w:sz w:val="22"/>
                <w:lang w:eastAsia="es-MX"/>
              </w:rPr>
            </w:pPr>
            <w:r w:rsidRPr="00523007">
              <w:rPr>
                <w:rFonts w:ascii="Arial Narrow" w:eastAsia="Times New Roman" w:hAnsi="Arial Narrow" w:cs="Times New Roman"/>
                <w:color w:val="000000"/>
                <w:sz w:val="22"/>
                <w:lang w:eastAsia="es-MX"/>
              </w:rPr>
              <w:t>Equipo de monitoreo de agua (lote)</w:t>
            </w:r>
          </w:p>
        </w:tc>
        <w:tc>
          <w:tcPr>
            <w:tcW w:w="0" w:type="auto"/>
            <w:shd w:val="clear" w:color="000000" w:fill="FFE699"/>
            <w:vAlign w:val="center"/>
            <w:hideMark/>
          </w:tcPr>
          <w:p w:rsidR="00CF3002" w:rsidRPr="00523007" w:rsidRDefault="00CF3002" w:rsidP="00523007">
            <w:pPr>
              <w:spacing w:after="0"/>
              <w:jc w:val="center"/>
              <w:rPr>
                <w:rFonts w:ascii="Arial Narrow" w:eastAsia="Times New Roman" w:hAnsi="Arial Narrow" w:cs="Times New Roman"/>
                <w:b/>
                <w:color w:val="000000"/>
                <w:sz w:val="22"/>
                <w:lang w:eastAsia="es-MX"/>
              </w:rPr>
            </w:pPr>
            <w:r w:rsidRPr="00523007">
              <w:rPr>
                <w:rFonts w:ascii="Arial Narrow" w:eastAsia="Times New Roman" w:hAnsi="Arial Narrow" w:cs="Times New Roman"/>
                <w:b/>
                <w:color w:val="000000"/>
                <w:sz w:val="22"/>
                <w:lang w:eastAsia="es-MX"/>
              </w:rPr>
              <w:t>1</w:t>
            </w:r>
          </w:p>
        </w:tc>
      </w:tr>
      <w:tr w:rsidR="00CF3002" w:rsidRPr="00523007" w:rsidTr="00523007">
        <w:trPr>
          <w:trHeight w:val="300"/>
        </w:trPr>
        <w:tc>
          <w:tcPr>
            <w:tcW w:w="0" w:type="auto"/>
            <w:shd w:val="clear" w:color="000000" w:fill="FFE699"/>
            <w:vAlign w:val="center"/>
            <w:hideMark/>
          </w:tcPr>
          <w:p w:rsidR="00CF3002" w:rsidRPr="00523007" w:rsidRDefault="00CF3002" w:rsidP="00523007">
            <w:pPr>
              <w:pStyle w:val="Prrafodelista"/>
              <w:numPr>
                <w:ilvl w:val="0"/>
                <w:numId w:val="3"/>
              </w:numPr>
              <w:spacing w:after="0"/>
              <w:jc w:val="left"/>
              <w:rPr>
                <w:rFonts w:ascii="Arial Narrow" w:eastAsia="Times New Roman" w:hAnsi="Arial Narrow" w:cs="Times New Roman"/>
                <w:color w:val="000000"/>
                <w:sz w:val="22"/>
                <w:lang w:eastAsia="es-MX"/>
              </w:rPr>
            </w:pPr>
            <w:r w:rsidRPr="00523007">
              <w:rPr>
                <w:rFonts w:ascii="Arial Narrow" w:eastAsia="Times New Roman" w:hAnsi="Arial Narrow" w:cs="Times New Roman"/>
                <w:color w:val="000000"/>
                <w:sz w:val="22"/>
                <w:lang w:eastAsia="es-MX"/>
              </w:rPr>
              <w:t>Equipo de cosecha (lote)</w:t>
            </w:r>
          </w:p>
        </w:tc>
        <w:tc>
          <w:tcPr>
            <w:tcW w:w="0" w:type="auto"/>
            <w:shd w:val="clear" w:color="000000" w:fill="FFE699"/>
            <w:vAlign w:val="center"/>
            <w:hideMark/>
          </w:tcPr>
          <w:p w:rsidR="00CF3002" w:rsidRPr="00523007" w:rsidRDefault="00CF3002" w:rsidP="00523007">
            <w:pPr>
              <w:spacing w:after="0"/>
              <w:jc w:val="center"/>
              <w:rPr>
                <w:rFonts w:ascii="Arial Narrow" w:eastAsia="Times New Roman" w:hAnsi="Arial Narrow" w:cs="Times New Roman"/>
                <w:b/>
                <w:color w:val="000000"/>
                <w:sz w:val="22"/>
                <w:lang w:eastAsia="es-MX"/>
              </w:rPr>
            </w:pPr>
            <w:r w:rsidRPr="00523007">
              <w:rPr>
                <w:rFonts w:ascii="Arial Narrow" w:eastAsia="Times New Roman" w:hAnsi="Arial Narrow" w:cs="Times New Roman"/>
                <w:b/>
                <w:color w:val="000000"/>
                <w:sz w:val="22"/>
                <w:lang w:eastAsia="es-MX"/>
              </w:rPr>
              <w:t>1</w:t>
            </w:r>
          </w:p>
        </w:tc>
      </w:tr>
      <w:tr w:rsidR="00CF3002" w:rsidRPr="00523007" w:rsidTr="00CE2993">
        <w:trPr>
          <w:trHeight w:val="336"/>
        </w:trPr>
        <w:tc>
          <w:tcPr>
            <w:tcW w:w="0" w:type="auto"/>
            <w:shd w:val="clear" w:color="000000" w:fill="FFE699"/>
            <w:vAlign w:val="center"/>
            <w:hideMark/>
          </w:tcPr>
          <w:p w:rsidR="00CF3002" w:rsidRPr="00523007" w:rsidRDefault="00CF3002" w:rsidP="00523007">
            <w:pPr>
              <w:pStyle w:val="Prrafodelista"/>
              <w:numPr>
                <w:ilvl w:val="0"/>
                <w:numId w:val="3"/>
              </w:numPr>
              <w:spacing w:after="0"/>
              <w:jc w:val="left"/>
              <w:rPr>
                <w:rFonts w:ascii="Arial Narrow" w:eastAsia="Times New Roman" w:hAnsi="Arial Narrow" w:cs="Times New Roman"/>
                <w:color w:val="000000"/>
                <w:sz w:val="22"/>
                <w:lang w:eastAsia="es-MX"/>
              </w:rPr>
            </w:pPr>
            <w:r w:rsidRPr="00523007">
              <w:rPr>
                <w:rFonts w:ascii="Arial Narrow" w:eastAsia="Times New Roman" w:hAnsi="Arial Narrow" w:cs="Times New Roman"/>
                <w:color w:val="000000"/>
                <w:sz w:val="22"/>
                <w:lang w:eastAsia="es-MX"/>
              </w:rPr>
              <w:t>Instalación eléctrica de 220/110 volts, instalaciones auxiliares</w:t>
            </w:r>
          </w:p>
        </w:tc>
        <w:tc>
          <w:tcPr>
            <w:tcW w:w="0" w:type="auto"/>
            <w:shd w:val="clear" w:color="000000" w:fill="FFE699"/>
            <w:vAlign w:val="center"/>
            <w:hideMark/>
          </w:tcPr>
          <w:p w:rsidR="00CF3002" w:rsidRPr="00523007" w:rsidRDefault="00CF3002" w:rsidP="00523007">
            <w:pPr>
              <w:spacing w:after="0"/>
              <w:jc w:val="center"/>
              <w:rPr>
                <w:rFonts w:ascii="Arial Narrow" w:eastAsia="Times New Roman" w:hAnsi="Arial Narrow" w:cs="Times New Roman"/>
                <w:b/>
                <w:color w:val="000000"/>
                <w:sz w:val="22"/>
                <w:lang w:eastAsia="es-MX"/>
              </w:rPr>
            </w:pPr>
            <w:r w:rsidRPr="00523007">
              <w:rPr>
                <w:rFonts w:ascii="Arial Narrow" w:eastAsia="Times New Roman" w:hAnsi="Arial Narrow" w:cs="Times New Roman"/>
                <w:b/>
                <w:color w:val="000000"/>
                <w:sz w:val="22"/>
                <w:lang w:eastAsia="es-MX"/>
              </w:rPr>
              <w:t>1</w:t>
            </w:r>
          </w:p>
        </w:tc>
      </w:tr>
      <w:tr w:rsidR="00CF3002" w:rsidRPr="00523007" w:rsidTr="002E2241">
        <w:trPr>
          <w:trHeight w:val="310"/>
        </w:trPr>
        <w:tc>
          <w:tcPr>
            <w:tcW w:w="0" w:type="auto"/>
            <w:shd w:val="clear" w:color="000000" w:fill="FFE699"/>
            <w:vAlign w:val="center"/>
            <w:hideMark/>
          </w:tcPr>
          <w:p w:rsidR="00CF3002" w:rsidRPr="00523007" w:rsidRDefault="00CF3002" w:rsidP="00523007">
            <w:pPr>
              <w:pStyle w:val="Prrafodelista"/>
              <w:numPr>
                <w:ilvl w:val="0"/>
                <w:numId w:val="3"/>
              </w:numPr>
              <w:spacing w:after="0"/>
              <w:jc w:val="left"/>
              <w:rPr>
                <w:rFonts w:ascii="Arial Narrow" w:eastAsia="Times New Roman" w:hAnsi="Arial Narrow" w:cs="Times New Roman"/>
                <w:color w:val="000000"/>
                <w:sz w:val="22"/>
                <w:lang w:eastAsia="es-MX"/>
              </w:rPr>
            </w:pPr>
            <w:r w:rsidRPr="00523007">
              <w:rPr>
                <w:rFonts w:ascii="Arial Narrow" w:eastAsia="Times New Roman" w:hAnsi="Arial Narrow" w:cs="Times New Roman"/>
                <w:color w:val="000000"/>
                <w:sz w:val="22"/>
                <w:lang w:eastAsia="es-MX"/>
              </w:rPr>
              <w:t>Bomba eléctrica de 1 hp, tinaco de 800 lts y equipo complementario</w:t>
            </w:r>
          </w:p>
        </w:tc>
        <w:tc>
          <w:tcPr>
            <w:tcW w:w="0" w:type="auto"/>
            <w:shd w:val="clear" w:color="000000" w:fill="FFE699"/>
            <w:vAlign w:val="center"/>
            <w:hideMark/>
          </w:tcPr>
          <w:p w:rsidR="00CF3002" w:rsidRPr="00523007" w:rsidRDefault="00CF3002" w:rsidP="00523007">
            <w:pPr>
              <w:spacing w:after="0"/>
              <w:jc w:val="center"/>
              <w:rPr>
                <w:rFonts w:ascii="Arial Narrow" w:eastAsia="Times New Roman" w:hAnsi="Arial Narrow" w:cs="Times New Roman"/>
                <w:b/>
                <w:color w:val="000000"/>
                <w:sz w:val="22"/>
                <w:lang w:eastAsia="es-MX"/>
              </w:rPr>
            </w:pPr>
            <w:r w:rsidRPr="00523007">
              <w:rPr>
                <w:rFonts w:ascii="Arial Narrow" w:eastAsia="Times New Roman" w:hAnsi="Arial Narrow" w:cs="Times New Roman"/>
                <w:b/>
                <w:color w:val="000000"/>
                <w:sz w:val="22"/>
                <w:lang w:eastAsia="es-MX"/>
              </w:rPr>
              <w:t>1</w:t>
            </w:r>
          </w:p>
        </w:tc>
      </w:tr>
    </w:tbl>
    <w:p w:rsidR="00ED4831" w:rsidRPr="002E2241" w:rsidRDefault="00ED4831" w:rsidP="00523007">
      <w:pPr>
        <w:spacing w:line="276" w:lineRule="auto"/>
        <w:rPr>
          <w:sz w:val="2"/>
          <w:szCs w:val="2"/>
        </w:rPr>
      </w:pPr>
    </w:p>
    <w:p w:rsidR="00E41FF4" w:rsidRPr="00517268" w:rsidRDefault="00517268" w:rsidP="00523007">
      <w:pPr>
        <w:spacing w:line="276" w:lineRule="auto"/>
        <w:rPr>
          <w:b/>
        </w:rPr>
      </w:pPr>
      <w:r w:rsidRPr="00517268">
        <w:rPr>
          <w:b/>
        </w:rPr>
        <w:t xml:space="preserve">Comparación de los subsidios al costo de la energía </w:t>
      </w:r>
    </w:p>
    <w:p w:rsidR="00E41FF4" w:rsidRPr="00F92655" w:rsidRDefault="00517268" w:rsidP="00E41FF4">
      <w:pPr>
        <w:spacing w:line="276" w:lineRule="auto"/>
      </w:pPr>
      <w:r>
        <w:t>Se c</w:t>
      </w:r>
      <w:r w:rsidR="00E41FF4" w:rsidRPr="00F92655">
        <w:t>omparan los subsidios al costo de la energía para los productores acuícolas y agrícolas, en los Programas que los regulan:</w:t>
      </w:r>
    </w:p>
    <w:p w:rsidR="00E41FF4" w:rsidRDefault="00E41FF4" w:rsidP="00523007">
      <w:pPr>
        <w:spacing w:line="276" w:lineRule="auto"/>
        <w:rPr>
          <w:b/>
          <w:sz w:val="20"/>
        </w:rPr>
      </w:pPr>
      <w:r w:rsidRPr="00E04318">
        <w:rPr>
          <w:b/>
          <w:sz w:val="20"/>
        </w:rPr>
        <w:t>Tabla 1. Programas que subsidian el costo de la energía eléctrica</w:t>
      </w:r>
    </w:p>
    <w:tbl>
      <w:tblPr>
        <w:tblStyle w:val="Tablaconcuadrcula"/>
        <w:tblW w:w="0" w:type="auto"/>
        <w:tblBorders>
          <w:top w:val="single" w:sz="4" w:space="0" w:color="4472C4"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402"/>
        <w:gridCol w:w="3016"/>
      </w:tblGrid>
      <w:tr w:rsidR="00E41FF4" w:rsidRPr="00ED4831" w:rsidTr="00157864">
        <w:tc>
          <w:tcPr>
            <w:tcW w:w="2410" w:type="dxa"/>
            <w:tcBorders>
              <w:top w:val="single" w:sz="4" w:space="0" w:color="4472C4" w:themeColor="accent1"/>
              <w:bottom w:val="single" w:sz="4" w:space="0" w:color="4472C4" w:themeColor="accent1"/>
            </w:tcBorders>
            <w:vAlign w:val="center"/>
          </w:tcPr>
          <w:p w:rsidR="00E41FF4" w:rsidRPr="00ED4831" w:rsidRDefault="00E41FF4" w:rsidP="00157864">
            <w:pPr>
              <w:spacing w:line="276" w:lineRule="auto"/>
              <w:jc w:val="center"/>
              <w:rPr>
                <w:b/>
                <w:sz w:val="20"/>
              </w:rPr>
            </w:pPr>
            <w:r w:rsidRPr="00ED4831">
              <w:rPr>
                <w:b/>
                <w:sz w:val="20"/>
              </w:rPr>
              <w:t>Concepto</w:t>
            </w:r>
          </w:p>
        </w:tc>
        <w:tc>
          <w:tcPr>
            <w:tcW w:w="3402" w:type="dxa"/>
            <w:tcBorders>
              <w:top w:val="single" w:sz="4" w:space="0" w:color="4472C4" w:themeColor="accent1"/>
              <w:bottom w:val="single" w:sz="4" w:space="0" w:color="4472C4" w:themeColor="accent1"/>
            </w:tcBorders>
            <w:vAlign w:val="center"/>
          </w:tcPr>
          <w:p w:rsidR="00E41FF4" w:rsidRPr="00ED4831" w:rsidRDefault="00E41FF4" w:rsidP="00157864">
            <w:pPr>
              <w:spacing w:line="276" w:lineRule="auto"/>
              <w:jc w:val="center"/>
              <w:rPr>
                <w:b/>
                <w:sz w:val="20"/>
              </w:rPr>
            </w:pPr>
            <w:r w:rsidRPr="00ED4831">
              <w:rPr>
                <w:b/>
                <w:sz w:val="20"/>
              </w:rPr>
              <w:t>Programa</w:t>
            </w:r>
          </w:p>
        </w:tc>
        <w:tc>
          <w:tcPr>
            <w:tcW w:w="3016" w:type="dxa"/>
            <w:tcBorders>
              <w:top w:val="single" w:sz="4" w:space="0" w:color="4472C4" w:themeColor="accent1"/>
              <w:bottom w:val="single" w:sz="4" w:space="0" w:color="4472C4" w:themeColor="accent1"/>
            </w:tcBorders>
            <w:vAlign w:val="center"/>
          </w:tcPr>
          <w:p w:rsidR="00E41FF4" w:rsidRPr="00ED4831" w:rsidRDefault="00E41FF4" w:rsidP="00157864">
            <w:pPr>
              <w:spacing w:line="276" w:lineRule="auto"/>
              <w:jc w:val="center"/>
              <w:rPr>
                <w:b/>
                <w:sz w:val="20"/>
              </w:rPr>
            </w:pPr>
            <w:r w:rsidRPr="00ED4831">
              <w:rPr>
                <w:b/>
                <w:sz w:val="20"/>
              </w:rPr>
              <w:t>Subsidio a la energía eléctrica</w:t>
            </w:r>
          </w:p>
        </w:tc>
      </w:tr>
      <w:tr w:rsidR="00E41FF4" w:rsidRPr="00ED4831" w:rsidTr="00157864">
        <w:tc>
          <w:tcPr>
            <w:tcW w:w="2410" w:type="dxa"/>
            <w:tcBorders>
              <w:top w:val="single" w:sz="4" w:space="0" w:color="4472C4" w:themeColor="accent1"/>
            </w:tcBorders>
            <w:vAlign w:val="center"/>
          </w:tcPr>
          <w:p w:rsidR="00E41FF4" w:rsidRPr="00ED4831" w:rsidRDefault="00E41FF4" w:rsidP="00157864">
            <w:pPr>
              <w:spacing w:line="276" w:lineRule="auto"/>
              <w:jc w:val="left"/>
              <w:rPr>
                <w:b/>
                <w:sz w:val="20"/>
              </w:rPr>
            </w:pPr>
            <w:r w:rsidRPr="00ED4831">
              <w:rPr>
                <w:b/>
                <w:sz w:val="20"/>
              </w:rPr>
              <w:t>Productor acuícola</w:t>
            </w:r>
          </w:p>
        </w:tc>
        <w:tc>
          <w:tcPr>
            <w:tcW w:w="3402" w:type="dxa"/>
            <w:tcBorders>
              <w:top w:val="single" w:sz="4" w:space="0" w:color="4472C4" w:themeColor="accent1"/>
            </w:tcBorders>
            <w:vAlign w:val="center"/>
          </w:tcPr>
          <w:p w:rsidR="00E41FF4" w:rsidRPr="00ED4831" w:rsidRDefault="00E41FF4" w:rsidP="00157864">
            <w:pPr>
              <w:spacing w:line="276" w:lineRule="auto"/>
              <w:rPr>
                <w:sz w:val="20"/>
              </w:rPr>
            </w:pPr>
            <w:r w:rsidRPr="00ED4831">
              <w:rPr>
                <w:sz w:val="20"/>
              </w:rPr>
              <w:t>Programa Especial de Energía para el Campo en materia de energía eléctrica para uso acuícola</w:t>
            </w:r>
          </w:p>
        </w:tc>
        <w:tc>
          <w:tcPr>
            <w:tcW w:w="3016" w:type="dxa"/>
            <w:tcBorders>
              <w:top w:val="single" w:sz="4" w:space="0" w:color="4472C4" w:themeColor="accent1"/>
            </w:tcBorders>
            <w:vAlign w:val="center"/>
          </w:tcPr>
          <w:p w:rsidR="00E41FF4" w:rsidRPr="00ED4831" w:rsidRDefault="00E41FF4" w:rsidP="00157864">
            <w:pPr>
              <w:spacing w:line="276" w:lineRule="auto"/>
              <w:jc w:val="left"/>
              <w:rPr>
                <w:sz w:val="20"/>
              </w:rPr>
            </w:pPr>
            <w:r w:rsidRPr="00ED4831">
              <w:rPr>
                <w:sz w:val="20"/>
              </w:rPr>
              <w:t>Otorga un estímulo del 50 %</w:t>
            </w:r>
          </w:p>
          <w:p w:rsidR="00E41FF4" w:rsidRPr="00ED4831" w:rsidRDefault="00E41FF4" w:rsidP="00157864">
            <w:pPr>
              <w:spacing w:line="276" w:lineRule="auto"/>
              <w:jc w:val="left"/>
              <w:rPr>
                <w:sz w:val="20"/>
              </w:rPr>
            </w:pPr>
          </w:p>
        </w:tc>
      </w:tr>
      <w:tr w:rsidR="00E41FF4" w:rsidRPr="00ED4831" w:rsidTr="00157864">
        <w:tc>
          <w:tcPr>
            <w:tcW w:w="2410" w:type="dxa"/>
            <w:tcBorders>
              <w:bottom w:val="single" w:sz="4" w:space="0" w:color="4472C4" w:themeColor="accent1"/>
            </w:tcBorders>
            <w:vAlign w:val="center"/>
          </w:tcPr>
          <w:p w:rsidR="00E41FF4" w:rsidRPr="00ED4831" w:rsidRDefault="00E41FF4" w:rsidP="00157864">
            <w:pPr>
              <w:spacing w:line="276" w:lineRule="auto"/>
              <w:jc w:val="left"/>
              <w:rPr>
                <w:b/>
                <w:sz w:val="20"/>
              </w:rPr>
            </w:pPr>
            <w:r w:rsidRPr="00ED4831">
              <w:rPr>
                <w:b/>
                <w:sz w:val="20"/>
              </w:rPr>
              <w:t>Productor agrícola</w:t>
            </w:r>
          </w:p>
        </w:tc>
        <w:tc>
          <w:tcPr>
            <w:tcW w:w="3402" w:type="dxa"/>
            <w:tcBorders>
              <w:bottom w:val="single" w:sz="4" w:space="0" w:color="4472C4" w:themeColor="accent1"/>
            </w:tcBorders>
            <w:vAlign w:val="center"/>
          </w:tcPr>
          <w:p w:rsidR="00E41FF4" w:rsidRPr="00ED4831" w:rsidRDefault="00E41FF4" w:rsidP="00157864">
            <w:pPr>
              <w:spacing w:line="276" w:lineRule="auto"/>
              <w:rPr>
                <w:sz w:val="20"/>
              </w:rPr>
            </w:pPr>
            <w:r w:rsidRPr="00ED4831">
              <w:rPr>
                <w:sz w:val="20"/>
              </w:rPr>
              <w:t>Programa especial de energía para el campo en materia de energía eléctrica de uso agrícola</w:t>
            </w:r>
          </w:p>
        </w:tc>
        <w:tc>
          <w:tcPr>
            <w:tcW w:w="3016" w:type="dxa"/>
            <w:tcBorders>
              <w:bottom w:val="single" w:sz="4" w:space="0" w:color="4472C4" w:themeColor="accent1"/>
            </w:tcBorders>
            <w:vAlign w:val="center"/>
          </w:tcPr>
          <w:p w:rsidR="00E41FF4" w:rsidRPr="00ED4831" w:rsidRDefault="00E41FF4" w:rsidP="00157864">
            <w:pPr>
              <w:spacing w:line="276" w:lineRule="auto"/>
              <w:jc w:val="left"/>
              <w:rPr>
                <w:sz w:val="20"/>
              </w:rPr>
            </w:pPr>
            <w:r w:rsidRPr="00ED4831">
              <w:rPr>
                <w:sz w:val="20"/>
              </w:rPr>
              <w:t>Otorga un estímulo del 90 %</w:t>
            </w:r>
          </w:p>
        </w:tc>
      </w:tr>
    </w:tbl>
    <w:p w:rsidR="00E41FF4" w:rsidRPr="002E2241" w:rsidRDefault="002E2241" w:rsidP="00517268">
      <w:pPr>
        <w:spacing w:line="276" w:lineRule="auto"/>
        <w:rPr>
          <w:sz w:val="18"/>
          <w:szCs w:val="18"/>
        </w:rPr>
      </w:pPr>
      <w:r w:rsidRPr="002E2241">
        <w:rPr>
          <w:sz w:val="18"/>
          <w:szCs w:val="18"/>
        </w:rPr>
        <w:t xml:space="preserve">Fuente: CEDRSSA, con información del Programa Especial de Energía para el Campo en materia de energía eléctrica para uso acuícola, Comisión Nacional de Acuacultura y Pesca, 2019. Disponible en: https://www.gob.mx/conapesca/acciones-y-programas/programa-energia-electrica-para-uso-acuicola; y de la Secretaría de de Agricultura y Desarrollo Rural, 2016. Disponible en: https://www.gob.mx/agricultura/acciones-y-programas/programa-especial-de-energia-para-el-campo-en-materia-de-energia-electrica-de-uso-agricola. </w:t>
      </w:r>
    </w:p>
    <w:sectPr w:rsidR="00E41FF4" w:rsidRPr="002E2241" w:rsidSect="00CE7652">
      <w:footerReference w:type="default" r:id="rId10"/>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AF2" w:rsidRDefault="009A5AF2" w:rsidP="00CE7652">
      <w:pPr>
        <w:spacing w:after="0"/>
      </w:pPr>
      <w:r>
        <w:separator/>
      </w:r>
    </w:p>
  </w:endnote>
  <w:endnote w:type="continuationSeparator" w:id="0">
    <w:p w:rsidR="009A5AF2" w:rsidRDefault="009A5AF2" w:rsidP="00CE76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955452"/>
      <w:docPartObj>
        <w:docPartGallery w:val="Page Numbers (Bottom of Page)"/>
        <w:docPartUnique/>
      </w:docPartObj>
    </w:sdtPr>
    <w:sdtEndPr/>
    <w:sdtContent>
      <w:p w:rsidR="00CE7652" w:rsidRDefault="00245EC5">
        <w:pPr>
          <w:pStyle w:val="Piedepgina"/>
        </w:pPr>
        <w:r>
          <w:rPr>
            <w:rFonts w:asciiTheme="majorHAnsi" w:eastAsiaTheme="majorEastAsia" w:hAnsiTheme="majorHAnsi" w:cstheme="majorBidi"/>
            <w:noProof/>
            <w:sz w:val="28"/>
            <w:szCs w:val="28"/>
            <w:lang w:eastAsia="es-MX"/>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12445" cy="441325"/>
                  <wp:effectExtent l="0" t="0" r="1905" b="0"/>
                  <wp:wrapNone/>
                  <wp:docPr id="3" name="Proceso alternativ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245EC5" w:rsidRDefault="00245EC5">
                              <w:pPr>
                                <w:pStyle w:val="Piedepgina"/>
                                <w:pBdr>
                                  <w:top w:val="single" w:sz="12" w:space="1" w:color="A5A5A5" w:themeColor="accent3"/>
                                  <w:bottom w:val="single" w:sz="48" w:space="1" w:color="A5A5A5" w:themeColor="accent3"/>
                                </w:pBdr>
                                <w:jc w:val="center"/>
                                <w:rPr>
                                  <w:sz w:val="28"/>
                                  <w:szCs w:val="28"/>
                                </w:rPr>
                              </w:pPr>
                              <w:r>
                                <w:rPr>
                                  <w:sz w:val="22"/>
                                </w:rPr>
                                <w:fldChar w:fldCharType="begin"/>
                              </w:r>
                              <w:r>
                                <w:instrText>PAGE    \* MERGEFORMAT</w:instrText>
                              </w:r>
                              <w:r>
                                <w:rPr>
                                  <w:sz w:val="22"/>
                                </w:rPr>
                                <w:fldChar w:fldCharType="separate"/>
                              </w:r>
                              <w:r w:rsidR="00FC70DE" w:rsidRPr="00FC70DE">
                                <w:rPr>
                                  <w:noProof/>
                                  <w:sz w:val="28"/>
                                  <w:szCs w:val="28"/>
                                  <w:lang w:val="es-ES"/>
                                </w:rPr>
                                <w:t>5</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3" o:spid="_x0000_s1026" type="#_x0000_t176" style="position:absolute;left:0;text-align:left;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" filled="f" fillcolor="#5c83b4" stroked="f" strokecolor="#737373">
                  <v:textbox>
                    <w:txbxContent>
                      <w:p w:rsidR="00245EC5" w:rsidRDefault="00245EC5">
                        <w:pPr>
                          <w:pStyle w:val="Piedepgina"/>
                          <w:pBdr>
                            <w:top w:val="single" w:sz="12" w:space="1" w:color="A5A5A5" w:themeColor="accent3"/>
                            <w:bottom w:val="single" w:sz="48" w:space="1" w:color="A5A5A5" w:themeColor="accent3"/>
                          </w:pBdr>
                          <w:jc w:val="center"/>
                          <w:rPr>
                            <w:sz w:val="28"/>
                            <w:szCs w:val="28"/>
                          </w:rPr>
                        </w:pPr>
                        <w:r>
                          <w:rPr>
                            <w:sz w:val="22"/>
                          </w:rPr>
                          <w:fldChar w:fldCharType="begin"/>
                        </w:r>
                        <w:r>
                          <w:instrText>PAGE    \* MERGEFORMAT</w:instrText>
                        </w:r>
                        <w:r>
                          <w:rPr>
                            <w:sz w:val="22"/>
                          </w:rPr>
                          <w:fldChar w:fldCharType="separate"/>
                        </w:r>
                        <w:r w:rsidR="00FC70DE" w:rsidRPr="00FC70DE">
                          <w:rPr>
                            <w:noProof/>
                            <w:sz w:val="28"/>
                            <w:szCs w:val="28"/>
                            <w:lang w:val="es-ES"/>
                          </w:rPr>
                          <w:t>5</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AF2" w:rsidRDefault="009A5AF2" w:rsidP="00CE7652">
      <w:pPr>
        <w:spacing w:after="0"/>
      </w:pPr>
      <w:r>
        <w:separator/>
      </w:r>
    </w:p>
  </w:footnote>
  <w:footnote w:type="continuationSeparator" w:id="0">
    <w:p w:rsidR="009A5AF2" w:rsidRDefault="009A5AF2" w:rsidP="00CE7652">
      <w:pPr>
        <w:spacing w:after="0"/>
      </w:pPr>
      <w:r>
        <w:continuationSeparator/>
      </w:r>
    </w:p>
  </w:footnote>
  <w:footnote w:id="1">
    <w:p w:rsidR="00F2076E" w:rsidRDefault="00F2076E">
      <w:pPr>
        <w:pStyle w:val="Textonotapie"/>
      </w:pPr>
      <w:r>
        <w:rPr>
          <w:rStyle w:val="Refdenotaalpie"/>
        </w:rPr>
        <w:footnoteRef/>
      </w:r>
      <w:r>
        <w:t xml:space="preserve"> </w:t>
      </w:r>
      <w:r w:rsidR="00E71C04">
        <w:t>Consultar el anexo referente a e</w:t>
      </w:r>
      <w:r w:rsidR="00053B2A">
        <w:t>quipos e i</w:t>
      </w:r>
      <w:r w:rsidR="00E71C04">
        <w:t>mplementos</w:t>
      </w:r>
      <w:r w:rsidR="00053B2A">
        <w:t xml:space="preserve"> que utilizan energía eléctrica en</w:t>
      </w:r>
      <w:r w:rsidR="00E71C04">
        <w:t xml:space="preserve"> la</w:t>
      </w:r>
      <w:r w:rsidR="00053B2A">
        <w:t xml:space="preserve"> producción acuícola</w:t>
      </w:r>
      <w:r w:rsidR="00E71C04">
        <w:t>.</w:t>
      </w:r>
    </w:p>
  </w:footnote>
  <w:footnote w:id="2">
    <w:p w:rsidR="00526006" w:rsidRPr="00D7652C" w:rsidRDefault="00526006" w:rsidP="00526006">
      <w:pPr>
        <w:pStyle w:val="Textonotapie"/>
        <w:rPr>
          <w:lang w:val="es-ES"/>
        </w:rPr>
      </w:pPr>
      <w:r>
        <w:rPr>
          <w:rStyle w:val="Refdenotaalpie"/>
        </w:rPr>
        <w:footnoteRef/>
      </w:r>
      <w:r>
        <w:t xml:space="preserve"> </w:t>
      </w:r>
      <w:r w:rsidR="00D1345E">
        <w:t>Ley de Energía para el Campo,</w:t>
      </w:r>
      <w:r w:rsidRPr="00D7652C">
        <w:t xml:space="preserve"> publicada en el Diario Oficial de la Federación el 30 de diciembre de 2002</w:t>
      </w:r>
      <w:r>
        <w:t>.</w:t>
      </w:r>
    </w:p>
  </w:footnote>
  <w:footnote w:id="3">
    <w:p w:rsidR="00E41FF4" w:rsidRDefault="00E41FF4">
      <w:pPr>
        <w:pStyle w:val="Textonotapie"/>
      </w:pPr>
      <w:r>
        <w:rPr>
          <w:rStyle w:val="Refdenotaalpie"/>
        </w:rPr>
        <w:footnoteRef/>
      </w:r>
      <w:r>
        <w:t xml:space="preserve"> En el anexo se comparan los subsidios </w:t>
      </w:r>
      <w:r w:rsidRPr="00F92655">
        <w:t>al costo de la energía para los productores acuícolas y agrícolas, en los Programas que los regulan</w:t>
      </w:r>
      <w:r>
        <w:t>.</w:t>
      </w:r>
    </w:p>
  </w:footnote>
  <w:footnote w:id="4">
    <w:p w:rsidR="00CF3002" w:rsidRPr="00322279" w:rsidRDefault="00CF3002" w:rsidP="00CF3002">
      <w:pPr>
        <w:pStyle w:val="Textonotapie"/>
        <w:rPr>
          <w:lang w:val="es-ES"/>
        </w:rPr>
      </w:pPr>
      <w:r>
        <w:rPr>
          <w:rStyle w:val="Refdenotaalpie"/>
        </w:rPr>
        <w:footnoteRef/>
      </w:r>
      <w:r>
        <w:t xml:space="preserve"> </w:t>
      </w:r>
      <w:r w:rsidRPr="00780464">
        <w:t>Oxigenación de granjas de peces</w:t>
      </w:r>
      <w:r>
        <w:t xml:space="preserve"> </w:t>
      </w:r>
      <w:r w:rsidRPr="008E5D99">
        <w:t>http://aerationoxicom.com/oxigenacion-de-granjas-de-peces/</w:t>
      </w:r>
      <w:r w:rsidR="008E5D99">
        <w:rPr>
          <w:lang w:val="es-ES"/>
        </w:rPr>
        <w:t xml:space="preserve"> </w:t>
      </w:r>
    </w:p>
  </w:footnote>
  <w:footnote w:id="5">
    <w:p w:rsidR="00CF3002" w:rsidRPr="00780464" w:rsidRDefault="00CF3002" w:rsidP="00CF3002">
      <w:pPr>
        <w:pStyle w:val="Textonotapie"/>
        <w:rPr>
          <w:lang w:val="es-ES"/>
        </w:rPr>
      </w:pPr>
      <w:r>
        <w:rPr>
          <w:rStyle w:val="Refdenotaalpie"/>
        </w:rPr>
        <w:footnoteRef/>
      </w:r>
      <w:r>
        <w:t xml:space="preserve"> </w:t>
      </w:r>
      <w:r w:rsidRPr="00780464">
        <w:t>OXIGENACIÓN DEL AGUA: PROCESO NATURAL Y ARTIFICIAL Cómo llega el oxígeno al agua, factores que alteran el nivel de oxígeno, aireación artificial y su funcionamiento.</w:t>
      </w:r>
      <w:r>
        <w:t xml:space="preserve"> </w:t>
      </w:r>
      <w:r w:rsidRPr="008E5D99">
        <w:t>https://peces-tropicales.idoneos.com/generalidades/aireacion/</w:t>
      </w:r>
      <w:r w:rsidR="008E5D99">
        <w:rPr>
          <w:lang w:val="es-ES"/>
        </w:rPr>
        <w:t xml:space="preserve"> </w:t>
      </w:r>
    </w:p>
  </w:footnote>
  <w:footnote w:id="6">
    <w:p w:rsidR="00CF3002" w:rsidRPr="00780464" w:rsidRDefault="00CF3002" w:rsidP="00CF3002">
      <w:pPr>
        <w:pStyle w:val="Textonotapie"/>
        <w:rPr>
          <w:lang w:val="es-ES"/>
        </w:rPr>
      </w:pPr>
      <w:r>
        <w:rPr>
          <w:rStyle w:val="Refdenotaalpie"/>
        </w:rPr>
        <w:footnoteRef/>
      </w:r>
      <w:r>
        <w:t xml:space="preserve"> </w:t>
      </w:r>
      <w:r w:rsidRPr="00780464">
        <w:t>Oxigenación de granjas de peces</w:t>
      </w:r>
      <w:r>
        <w:t xml:space="preserve"> </w:t>
      </w:r>
      <w:r w:rsidRPr="008E5D99">
        <w:t>http://aerationoxicom.com/oxigenacion-de-granjas-de-peces/</w:t>
      </w:r>
      <w:r w:rsidR="008E5D99">
        <w:rPr>
          <w:lang w:val="es-ES"/>
        </w:rPr>
        <w:t xml:space="preserve"> </w:t>
      </w:r>
    </w:p>
  </w:footnote>
  <w:footnote w:id="7">
    <w:p w:rsidR="00CF3002" w:rsidRPr="009519DF" w:rsidRDefault="00CF3002" w:rsidP="00CF3002">
      <w:pPr>
        <w:pStyle w:val="Textonotapie"/>
      </w:pPr>
      <w:r>
        <w:rPr>
          <w:rStyle w:val="Refdenotaalpie"/>
        </w:rPr>
        <w:footnoteRef/>
      </w:r>
      <w:r>
        <w:t xml:space="preserve"> </w:t>
      </w:r>
      <w:r w:rsidRPr="00FE6C84">
        <w:t>CLAUDE E. BOYD, PHD. Eficiencia de la aireación mecánica</w:t>
      </w:r>
      <w:r>
        <w:t xml:space="preserve">, </w:t>
      </w:r>
      <w:r w:rsidRPr="00FE6C84">
        <w:t>Escuela de Pesca, Acuicultura y Ciencias Acuáticas Auburn University Auburn, AL 36830 USA. Jueves 5 de noviembre de 2015</w:t>
      </w:r>
      <w:r>
        <w:t xml:space="preserve"> </w:t>
      </w:r>
      <w:r w:rsidR="008E5D99" w:rsidRPr="008E5D99">
        <w:t>https://www.aquaculturealliance.org/advocate/efficiency-of-mechanical-aeration/</w:t>
      </w:r>
      <w:r w:rsidR="008E5D99">
        <w:t xml:space="preserve"> </w:t>
      </w:r>
    </w:p>
  </w:footnote>
  <w:footnote w:id="8">
    <w:p w:rsidR="00CF3002" w:rsidRDefault="00CF3002" w:rsidP="00CF3002">
      <w:pPr>
        <w:pStyle w:val="Textonotapie"/>
      </w:pPr>
      <w:r>
        <w:rPr>
          <w:rStyle w:val="Refdenotaalpie"/>
        </w:rPr>
        <w:footnoteRef/>
      </w:r>
      <w:r>
        <w:t xml:space="preserve"> </w:t>
      </w:r>
      <w:r w:rsidRPr="004B6D5F">
        <w:t>Examinando el uso de energía en la camaronicultura</w:t>
      </w:r>
      <w:r>
        <w:t xml:space="preserve"> </w:t>
      </w:r>
      <w:r w:rsidRPr="004B6D5F">
        <w:t>Estudiar en Australia claves sobre aireación, demandas de bombeo</w:t>
      </w:r>
    </w:p>
    <w:p w:rsidR="00CF3002" w:rsidRPr="004B6D5F" w:rsidRDefault="00CF3002" w:rsidP="00CF3002">
      <w:pPr>
        <w:pStyle w:val="Textonotapie"/>
        <w:rPr>
          <w:lang w:val="es-ES"/>
        </w:rPr>
      </w:pPr>
      <w:r w:rsidRPr="008E5D99">
        <w:t>https://www.aquaculturealliance.org/advocate/energy-use-in-shrimp-farming/</w:t>
      </w:r>
    </w:p>
  </w:footnote>
  <w:footnote w:id="9">
    <w:p w:rsidR="00CF3002" w:rsidRDefault="00CF3002" w:rsidP="00CF3002">
      <w:pPr>
        <w:pStyle w:val="Textonotapie"/>
      </w:pPr>
      <w:r>
        <w:rPr>
          <w:rStyle w:val="Refdenotaalpie"/>
        </w:rPr>
        <w:footnoteRef/>
      </w:r>
      <w:r>
        <w:t xml:space="preserve"> </w:t>
      </w:r>
      <w:r w:rsidRPr="00451078">
        <w:t>Eficiencia energética en sistemas de bombeo en granjas acuícolas</w:t>
      </w:r>
      <w:r>
        <w:t>, e</w:t>
      </w:r>
      <w:r w:rsidRPr="00451078">
        <w:t>strategias sostenibles de Ecuador para mejorar la competitividad, los costos de producción y la máxima eficiencia operativa</w:t>
      </w:r>
      <w:r>
        <w:t>.</w:t>
      </w:r>
    </w:p>
    <w:p w:rsidR="00CF3002" w:rsidRPr="00451078" w:rsidRDefault="00CF3002" w:rsidP="00CF3002">
      <w:pPr>
        <w:pStyle w:val="Textonotapie"/>
        <w:rPr>
          <w:lang w:val="es-ES"/>
        </w:rPr>
      </w:pPr>
      <w:r w:rsidRPr="008E5D99">
        <w:t>https://www.aquaculturealliance.org/advocate/eficiencia-energetica-en-sistemas-de-bombeo-en-granjas-acuicolas/</w:t>
      </w:r>
    </w:p>
  </w:footnote>
  <w:footnote w:id="10">
    <w:p w:rsidR="00CF3002" w:rsidRDefault="00CF3002" w:rsidP="00CF3002">
      <w:pPr>
        <w:pStyle w:val="Textonotapie"/>
      </w:pPr>
    </w:p>
    <w:p w:rsidR="00CF3002" w:rsidRPr="00F77D02" w:rsidRDefault="00CF3002" w:rsidP="00CF3002">
      <w:pPr>
        <w:pStyle w:val="Textonotapie"/>
        <w:rPr>
          <w:lang w:val="es-ES"/>
        </w:rPr>
      </w:pPr>
      <w:r>
        <w:rPr>
          <w:rStyle w:val="Refdenotaalpie"/>
        </w:rPr>
        <w:footnoteRef/>
      </w:r>
      <w:r>
        <w:t xml:space="preserve"> </w:t>
      </w:r>
      <w:r w:rsidRPr="00F77D02">
        <w:t>M.I.A. Modalidad Particular “Construcción y operación de una granja acuícola de camarón blanco y tilapia” De S.C.P.P Alacran Reef S.C. de R.L.</w:t>
      </w:r>
      <w:r>
        <w:t xml:space="preserve"> </w:t>
      </w:r>
      <w:r w:rsidRPr="008E5D99">
        <w:t>http://sinat.semarnat.gob.mx/dgiraDocs/documentos/yuc/estudios/2005/31YU2005PD006.pdf</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B62"/>
    <w:multiLevelType w:val="hybridMultilevel"/>
    <w:tmpl w:val="32F89B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960F87"/>
    <w:multiLevelType w:val="hybridMultilevel"/>
    <w:tmpl w:val="D4A2E3CA"/>
    <w:lvl w:ilvl="0" w:tplc="979A5ACE">
      <w:start w:val="1"/>
      <w:numFmt w:val="bullet"/>
      <w:lvlText w:val=""/>
      <w:lvlJc w:val="center"/>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13AB42CA"/>
    <w:multiLevelType w:val="hybridMultilevel"/>
    <w:tmpl w:val="E76CD008"/>
    <w:lvl w:ilvl="0" w:tplc="979A5ACE">
      <w:start w:val="1"/>
      <w:numFmt w:val="bullet"/>
      <w:lvlText w:val=""/>
      <w:lvlJc w:val="center"/>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9B1"/>
    <w:rsid w:val="00032EFC"/>
    <w:rsid w:val="00053B2A"/>
    <w:rsid w:val="000566F6"/>
    <w:rsid w:val="00066013"/>
    <w:rsid w:val="00073648"/>
    <w:rsid w:val="000C3009"/>
    <w:rsid w:val="000D240C"/>
    <w:rsid w:val="00126B24"/>
    <w:rsid w:val="001C6345"/>
    <w:rsid w:val="001C6A5B"/>
    <w:rsid w:val="00227A9A"/>
    <w:rsid w:val="00245EC5"/>
    <w:rsid w:val="002C5279"/>
    <w:rsid w:val="002E2241"/>
    <w:rsid w:val="003235A1"/>
    <w:rsid w:val="00377110"/>
    <w:rsid w:val="003906E2"/>
    <w:rsid w:val="00390CD1"/>
    <w:rsid w:val="003919B9"/>
    <w:rsid w:val="003C70C3"/>
    <w:rsid w:val="003E0198"/>
    <w:rsid w:val="00461650"/>
    <w:rsid w:val="004821BF"/>
    <w:rsid w:val="004C4F76"/>
    <w:rsid w:val="004E0B24"/>
    <w:rsid w:val="00517268"/>
    <w:rsid w:val="00523007"/>
    <w:rsid w:val="00526006"/>
    <w:rsid w:val="005267AE"/>
    <w:rsid w:val="00543605"/>
    <w:rsid w:val="005860BD"/>
    <w:rsid w:val="0059433A"/>
    <w:rsid w:val="005A0428"/>
    <w:rsid w:val="005D2AE7"/>
    <w:rsid w:val="005F03E3"/>
    <w:rsid w:val="006621CD"/>
    <w:rsid w:val="00663BC9"/>
    <w:rsid w:val="0068311A"/>
    <w:rsid w:val="006876AF"/>
    <w:rsid w:val="006E3F48"/>
    <w:rsid w:val="006F0D57"/>
    <w:rsid w:val="006F4D23"/>
    <w:rsid w:val="006F7F5F"/>
    <w:rsid w:val="00764B26"/>
    <w:rsid w:val="007927F4"/>
    <w:rsid w:val="007C497A"/>
    <w:rsid w:val="007C4E8D"/>
    <w:rsid w:val="0081670B"/>
    <w:rsid w:val="008264C5"/>
    <w:rsid w:val="008D1806"/>
    <w:rsid w:val="008E5D99"/>
    <w:rsid w:val="00901A7E"/>
    <w:rsid w:val="00917857"/>
    <w:rsid w:val="009258C6"/>
    <w:rsid w:val="00990068"/>
    <w:rsid w:val="009A5AF2"/>
    <w:rsid w:val="009E610F"/>
    <w:rsid w:val="00A134E6"/>
    <w:rsid w:val="00A20535"/>
    <w:rsid w:val="00A26803"/>
    <w:rsid w:val="00A32CD8"/>
    <w:rsid w:val="00A41A44"/>
    <w:rsid w:val="00A42A00"/>
    <w:rsid w:val="00AA236E"/>
    <w:rsid w:val="00AC1E90"/>
    <w:rsid w:val="00B0791A"/>
    <w:rsid w:val="00B1325D"/>
    <w:rsid w:val="00B51E9D"/>
    <w:rsid w:val="00B8710C"/>
    <w:rsid w:val="00BA2890"/>
    <w:rsid w:val="00C21556"/>
    <w:rsid w:val="00C36F5F"/>
    <w:rsid w:val="00C744B0"/>
    <w:rsid w:val="00C837E2"/>
    <w:rsid w:val="00C879B1"/>
    <w:rsid w:val="00CA2D79"/>
    <w:rsid w:val="00CB5420"/>
    <w:rsid w:val="00CE2993"/>
    <w:rsid w:val="00CE7652"/>
    <w:rsid w:val="00CF3002"/>
    <w:rsid w:val="00D1345E"/>
    <w:rsid w:val="00D4182E"/>
    <w:rsid w:val="00D44010"/>
    <w:rsid w:val="00D80940"/>
    <w:rsid w:val="00D80EA0"/>
    <w:rsid w:val="00D9204B"/>
    <w:rsid w:val="00D95131"/>
    <w:rsid w:val="00E0099E"/>
    <w:rsid w:val="00E04318"/>
    <w:rsid w:val="00E23C12"/>
    <w:rsid w:val="00E36600"/>
    <w:rsid w:val="00E41FF4"/>
    <w:rsid w:val="00E71C04"/>
    <w:rsid w:val="00EB2ECB"/>
    <w:rsid w:val="00ED4831"/>
    <w:rsid w:val="00F2076E"/>
    <w:rsid w:val="00F44EC8"/>
    <w:rsid w:val="00F45BF3"/>
    <w:rsid w:val="00F66401"/>
    <w:rsid w:val="00F77963"/>
    <w:rsid w:val="00F92655"/>
    <w:rsid w:val="00FC70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690B7"/>
  <w15:chartTrackingRefBased/>
  <w15:docId w15:val="{8C1BC7D6-9A9E-4F53-A87F-47758DBAF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9B1"/>
    <w:pPr>
      <w:spacing w:line="240" w:lineRule="auto"/>
      <w:jc w:val="both"/>
    </w:pPr>
    <w:rPr>
      <w:rFonts w:ascii="Arial" w:hAnsi="Arial"/>
      <w:sz w:val="24"/>
    </w:rPr>
  </w:style>
  <w:style w:type="paragraph" w:styleId="Ttulo2">
    <w:name w:val="heading 2"/>
    <w:basedOn w:val="Normal"/>
    <w:next w:val="Normal"/>
    <w:link w:val="Ttulo2Car"/>
    <w:uiPriority w:val="9"/>
    <w:unhideWhenUsed/>
    <w:qFormat/>
    <w:rsid w:val="00C879B1"/>
    <w:pPr>
      <w:keepNext/>
      <w:keepLines/>
      <w:spacing w:before="280" w:after="240"/>
      <w:outlineLvl w:val="1"/>
    </w:pPr>
    <w:rPr>
      <w:rFonts w:eastAsiaTheme="majorEastAsia" w:cstheme="majorBidi"/>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879B1"/>
    <w:rPr>
      <w:rFonts w:ascii="Arial" w:eastAsiaTheme="majorEastAsia" w:hAnsi="Arial" w:cstheme="majorBidi"/>
      <w:sz w:val="24"/>
      <w:szCs w:val="26"/>
    </w:rPr>
  </w:style>
  <w:style w:type="paragraph" w:styleId="Prrafodelista">
    <w:name w:val="List Paragraph"/>
    <w:basedOn w:val="Normal"/>
    <w:uiPriority w:val="34"/>
    <w:qFormat/>
    <w:rsid w:val="00C879B1"/>
    <w:pPr>
      <w:ind w:left="720"/>
      <w:contextualSpacing/>
    </w:pPr>
  </w:style>
  <w:style w:type="paragraph" w:styleId="Encabezado">
    <w:name w:val="header"/>
    <w:basedOn w:val="Normal"/>
    <w:link w:val="EncabezadoCar"/>
    <w:uiPriority w:val="99"/>
    <w:unhideWhenUsed/>
    <w:rsid w:val="00CE7652"/>
    <w:pPr>
      <w:tabs>
        <w:tab w:val="center" w:pos="4419"/>
        <w:tab w:val="right" w:pos="8838"/>
      </w:tabs>
      <w:spacing w:after="0"/>
    </w:pPr>
  </w:style>
  <w:style w:type="character" w:customStyle="1" w:styleId="EncabezadoCar">
    <w:name w:val="Encabezado Car"/>
    <w:basedOn w:val="Fuentedeprrafopredeter"/>
    <w:link w:val="Encabezado"/>
    <w:uiPriority w:val="99"/>
    <w:rsid w:val="00CE7652"/>
    <w:rPr>
      <w:rFonts w:ascii="Arial" w:hAnsi="Arial"/>
      <w:sz w:val="24"/>
    </w:rPr>
  </w:style>
  <w:style w:type="paragraph" w:styleId="Piedepgina">
    <w:name w:val="footer"/>
    <w:basedOn w:val="Normal"/>
    <w:link w:val="PiedepginaCar"/>
    <w:uiPriority w:val="99"/>
    <w:unhideWhenUsed/>
    <w:rsid w:val="00CE7652"/>
    <w:pPr>
      <w:tabs>
        <w:tab w:val="center" w:pos="4419"/>
        <w:tab w:val="right" w:pos="8838"/>
      </w:tabs>
      <w:spacing w:after="0"/>
    </w:pPr>
  </w:style>
  <w:style w:type="character" w:customStyle="1" w:styleId="PiedepginaCar">
    <w:name w:val="Pie de página Car"/>
    <w:basedOn w:val="Fuentedeprrafopredeter"/>
    <w:link w:val="Piedepgina"/>
    <w:uiPriority w:val="99"/>
    <w:rsid w:val="00CE7652"/>
    <w:rPr>
      <w:rFonts w:ascii="Arial" w:hAnsi="Arial"/>
      <w:sz w:val="24"/>
    </w:rPr>
  </w:style>
  <w:style w:type="paragraph" w:styleId="NormalWeb">
    <w:name w:val="Normal (Web)"/>
    <w:basedOn w:val="Normal"/>
    <w:uiPriority w:val="99"/>
    <w:semiHidden/>
    <w:unhideWhenUsed/>
    <w:rsid w:val="007927F4"/>
    <w:pPr>
      <w:spacing w:before="100" w:beforeAutospacing="1" w:after="100" w:afterAutospacing="1"/>
      <w:jc w:val="left"/>
    </w:pPr>
    <w:rPr>
      <w:rFonts w:ascii="Times New Roman" w:eastAsia="Times New Roman" w:hAnsi="Times New Roman" w:cs="Times New Roman"/>
      <w:szCs w:val="24"/>
      <w:lang w:eastAsia="es-MX"/>
    </w:rPr>
  </w:style>
  <w:style w:type="character" w:customStyle="1" w:styleId="negritas">
    <w:name w:val="negritas"/>
    <w:basedOn w:val="Fuentedeprrafopredeter"/>
    <w:rsid w:val="007927F4"/>
  </w:style>
  <w:style w:type="paragraph" w:customStyle="1" w:styleId="sangria">
    <w:name w:val="sangria"/>
    <w:basedOn w:val="Normal"/>
    <w:rsid w:val="007927F4"/>
    <w:pPr>
      <w:spacing w:before="100" w:beforeAutospacing="1" w:after="100" w:afterAutospacing="1"/>
      <w:jc w:val="left"/>
    </w:pPr>
    <w:rPr>
      <w:rFonts w:ascii="Times New Roman" w:eastAsia="Times New Roman" w:hAnsi="Times New Roman" w:cs="Times New Roman"/>
      <w:szCs w:val="24"/>
      <w:lang w:eastAsia="es-MX"/>
    </w:rPr>
  </w:style>
  <w:style w:type="paragraph" w:customStyle="1" w:styleId="centrar">
    <w:name w:val="centrar"/>
    <w:basedOn w:val="Normal"/>
    <w:rsid w:val="007927F4"/>
    <w:pPr>
      <w:spacing w:before="100" w:beforeAutospacing="1" w:after="100" w:afterAutospacing="1"/>
      <w:jc w:val="left"/>
    </w:pPr>
    <w:rPr>
      <w:rFonts w:ascii="Times New Roman" w:eastAsia="Times New Roman" w:hAnsi="Times New Roman" w:cs="Times New Roman"/>
      <w:szCs w:val="24"/>
      <w:lang w:eastAsia="es-MX"/>
    </w:rPr>
  </w:style>
  <w:style w:type="paragraph" w:styleId="Textonotapie">
    <w:name w:val="footnote text"/>
    <w:basedOn w:val="Normal"/>
    <w:link w:val="TextonotapieCar"/>
    <w:uiPriority w:val="99"/>
    <w:semiHidden/>
    <w:unhideWhenUsed/>
    <w:rsid w:val="006876AF"/>
    <w:pPr>
      <w:spacing w:after="0"/>
    </w:pPr>
    <w:rPr>
      <w:sz w:val="20"/>
      <w:szCs w:val="20"/>
    </w:rPr>
  </w:style>
  <w:style w:type="character" w:customStyle="1" w:styleId="TextonotapieCar">
    <w:name w:val="Texto nota pie Car"/>
    <w:basedOn w:val="Fuentedeprrafopredeter"/>
    <w:link w:val="Textonotapie"/>
    <w:uiPriority w:val="99"/>
    <w:semiHidden/>
    <w:rsid w:val="006876AF"/>
    <w:rPr>
      <w:rFonts w:ascii="Arial" w:hAnsi="Arial"/>
      <w:sz w:val="20"/>
      <w:szCs w:val="20"/>
    </w:rPr>
  </w:style>
  <w:style w:type="character" w:styleId="Refdenotaalpie">
    <w:name w:val="footnote reference"/>
    <w:basedOn w:val="Fuentedeprrafopredeter"/>
    <w:uiPriority w:val="99"/>
    <w:semiHidden/>
    <w:unhideWhenUsed/>
    <w:rsid w:val="006876AF"/>
    <w:rPr>
      <w:vertAlign w:val="superscript"/>
    </w:rPr>
  </w:style>
  <w:style w:type="table" w:styleId="Tablaconcuadrcula">
    <w:name w:val="Table Grid"/>
    <w:basedOn w:val="Tablanormal"/>
    <w:uiPriority w:val="39"/>
    <w:rsid w:val="00AA2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45EC5"/>
    <w:rPr>
      <w:color w:val="0000FF"/>
      <w:u w:val="single"/>
    </w:rPr>
  </w:style>
  <w:style w:type="paragraph" w:styleId="Textodeglobo">
    <w:name w:val="Balloon Text"/>
    <w:basedOn w:val="Normal"/>
    <w:link w:val="TextodegloboCar"/>
    <w:uiPriority w:val="99"/>
    <w:semiHidden/>
    <w:unhideWhenUsed/>
    <w:rsid w:val="0068311A"/>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31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77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01227-BA54-4718-B7BF-096FFEA89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2455</Words>
  <Characters>13505</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GMuñoz</dc:creator>
  <cp:keywords/>
  <dc:description/>
  <cp:lastModifiedBy>GMuñoz</cp:lastModifiedBy>
  <cp:revision>7</cp:revision>
  <cp:lastPrinted>2020-02-25T18:17:00Z</cp:lastPrinted>
  <dcterms:created xsi:type="dcterms:W3CDTF">2020-02-25T19:04:00Z</dcterms:created>
  <dcterms:modified xsi:type="dcterms:W3CDTF">2020-02-27T00:08:00Z</dcterms:modified>
</cp:coreProperties>
</file>